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BE9C">
      <w:pPr>
        <w:ind w:firstLine="2160" w:firstLineChars="600"/>
        <w:jc w:val="left"/>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抚顺市疾病预防控制中心</w:t>
      </w:r>
    </w:p>
    <w:p w14:paraId="2E4DF7EA">
      <w:pPr>
        <w:ind w:firstLine="360" w:firstLineChars="100"/>
        <w:jc w:val="left"/>
        <w:rPr>
          <w:color w:val="000000"/>
          <w:sz w:val="32"/>
        </w:rPr>
      </w:pPr>
      <w:r>
        <w:rPr>
          <w:rFonts w:hint="eastAsia" w:asciiTheme="minorEastAsia" w:hAnsiTheme="minorEastAsia" w:eastAsiaTheme="minorEastAsia" w:cstheme="minorEastAsia"/>
          <w:color w:val="000000"/>
          <w:sz w:val="36"/>
          <w:szCs w:val="36"/>
          <w:lang w:val="en-US" w:eastAsia="zh-CN"/>
        </w:rPr>
        <w:t>（抚顺市卫生监督所）202</w:t>
      </w:r>
      <w:r>
        <w:rPr>
          <w:rFonts w:hint="eastAsia" w:asciiTheme="minorEastAsia" w:hAnsiTheme="minorEastAsia" w:cstheme="minorEastAsia"/>
          <w:color w:val="000000"/>
          <w:sz w:val="36"/>
          <w:szCs w:val="36"/>
          <w:lang w:val="en-US" w:eastAsia="zh-CN"/>
        </w:rPr>
        <w:t>5</w:t>
      </w:r>
      <w:r>
        <w:rPr>
          <w:rFonts w:hint="eastAsia" w:asciiTheme="minorEastAsia" w:hAnsiTheme="minorEastAsia" w:eastAsiaTheme="minorEastAsia" w:cstheme="minorEastAsia"/>
          <w:color w:val="000000"/>
          <w:sz w:val="36"/>
          <w:szCs w:val="36"/>
        </w:rPr>
        <w:t>年预算</w:t>
      </w:r>
      <w:r>
        <w:rPr>
          <w:rFonts w:hint="eastAsia" w:asciiTheme="minorEastAsia" w:hAnsiTheme="minorEastAsia" w:cstheme="minorEastAsia"/>
          <w:color w:val="000000"/>
          <w:sz w:val="36"/>
          <w:szCs w:val="36"/>
          <w:lang w:val="en-US" w:eastAsia="zh-CN"/>
        </w:rPr>
        <w:t>公开</w:t>
      </w:r>
      <w:r>
        <w:rPr>
          <w:rFonts w:hint="eastAsia" w:asciiTheme="minorEastAsia" w:hAnsiTheme="minorEastAsia" w:eastAsiaTheme="minorEastAsia" w:cstheme="minorEastAsia"/>
          <w:color w:val="000000"/>
          <w:sz w:val="36"/>
          <w:szCs w:val="36"/>
        </w:rPr>
        <w:t>说明</w:t>
      </w:r>
      <w:r>
        <w:rPr>
          <w:color w:val="000000"/>
          <w:sz w:val="32"/>
        </w:rPr>
        <w:t>
</w:t>
      </w:r>
    </w:p>
    <w:p w14:paraId="15CEE9AC">
      <w:pPr>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第一部分：部门概况</w:t>
      </w:r>
    </w:p>
    <w:p w14:paraId="34255B7C">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一，部门主要职能</w:t>
      </w:r>
    </w:p>
    <w:p w14:paraId="6C0E0612">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二，部门预算单位构成</w:t>
      </w:r>
    </w:p>
    <w:p w14:paraId="1891E893">
      <w:pPr>
        <w:jc w:val="both"/>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第二部分202</w:t>
      </w:r>
      <w:r>
        <w:rPr>
          <w:rFonts w:hint="eastAsia" w:asciiTheme="minorEastAsia" w:hAnsiTheme="minorEastAsia" w:cstheme="minorEastAsia"/>
          <w:b/>
          <w:bCs/>
          <w:sz w:val="30"/>
          <w:szCs w:val="30"/>
          <w:lang w:val="en-US" w:eastAsia="zh-CN"/>
        </w:rPr>
        <w:t>5</w:t>
      </w:r>
      <w:r>
        <w:rPr>
          <w:rFonts w:hint="eastAsia" w:asciiTheme="minorEastAsia" w:hAnsiTheme="minorEastAsia" w:eastAsiaTheme="minorEastAsia" w:cstheme="minorEastAsia"/>
          <w:b/>
          <w:bCs/>
          <w:sz w:val="30"/>
          <w:szCs w:val="30"/>
        </w:rPr>
        <w:t>年部门预算表</w:t>
      </w:r>
    </w:p>
    <w:p w14:paraId="190A1F14">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一，202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年部门收支总体情况表</w:t>
      </w:r>
    </w:p>
    <w:p w14:paraId="0AE42085">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二，202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年部门收支总体情况表(分单位)</w:t>
      </w:r>
    </w:p>
    <w:p w14:paraId="4CC8FD38">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三，202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年部门收入总体情况表</w:t>
      </w:r>
    </w:p>
    <w:p w14:paraId="0E0AB1BF">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四，202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年部门支出总体情况表</w:t>
      </w:r>
    </w:p>
    <w:p w14:paraId="1DBAF9B0">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五，202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年部门支出总体情况表(按功能科目)</w:t>
      </w:r>
    </w:p>
    <w:p w14:paraId="661EA4F5">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六，202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年部门财政拨款收支总体情况表</w:t>
      </w:r>
    </w:p>
    <w:p w14:paraId="35FCBD7E">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七，202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年部门财政拨款支出总体情况表(按功能科目)</w:t>
      </w:r>
    </w:p>
    <w:p w14:paraId="5A9B0996">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八，202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年部门一般公共预算支出情况表</w:t>
      </w:r>
    </w:p>
    <w:p w14:paraId="01CF992E">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九，202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年部门一般公共预算基本支出情况表</w:t>
      </w:r>
    </w:p>
    <w:p w14:paraId="7EDBF4BF">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年一般公共预算基本支出按经济分类情况表</w:t>
      </w:r>
    </w:p>
    <w:p w14:paraId="7A5BFDC9">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十一，202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年纳入预算管理的行政事业性收费预算支出情况表</w:t>
      </w:r>
    </w:p>
    <w:p w14:paraId="32DDBCC4">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十二，202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年部门(政府性基金收入)政府性基金预算支出情况表</w:t>
      </w:r>
    </w:p>
    <w:p w14:paraId="1AB93227">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十三，202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年部门(国有资本经营收入)国有资本经营预算支出情况表</w:t>
      </w:r>
    </w:p>
    <w:p w14:paraId="459ED9B9">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十四，202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年部门项目支出预算表</w:t>
      </w:r>
    </w:p>
    <w:p w14:paraId="13F70CC2">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十五，202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年部门政府采购支出预算表</w:t>
      </w:r>
    </w:p>
    <w:p w14:paraId="5FD366D1">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十六，202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年部门政府购买服务支出预算表</w:t>
      </w:r>
    </w:p>
    <w:p w14:paraId="451A5ED1">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十七，202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年部门一般公共预算"三公"经费支出情况表</w:t>
      </w:r>
    </w:p>
    <w:p w14:paraId="60B4C2F0">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十八，202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年部门一般公共预算机关运行经费明细表</w:t>
      </w:r>
    </w:p>
    <w:p w14:paraId="6418DF84">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十九，202</w:t>
      </w:r>
      <w:r>
        <w:rPr>
          <w:rFonts w:hint="eastAsia" w:asciiTheme="minorEastAsia" w:hAnsi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rPr>
        <w:t>年部门项目支出预算绩效目标情况表</w:t>
      </w:r>
    </w:p>
    <w:p w14:paraId="55D7D8E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333333"/>
          <w:kern w:val="0"/>
          <w:sz w:val="30"/>
          <w:szCs w:val="30"/>
          <w:lang w:val="en-US" w:eastAsia="zh-CN" w:bidi="ar"/>
        </w:rPr>
        <w:t>第三部分 202</w:t>
      </w:r>
      <w:r>
        <w:rPr>
          <w:rFonts w:hint="eastAsia" w:asciiTheme="minorEastAsia" w:hAnsiTheme="minorEastAsia" w:cstheme="minorEastAsia"/>
          <w:b/>
          <w:bCs/>
          <w:color w:val="333333"/>
          <w:kern w:val="0"/>
          <w:sz w:val="30"/>
          <w:szCs w:val="30"/>
          <w:lang w:val="en-US" w:eastAsia="zh-CN" w:bidi="ar"/>
        </w:rPr>
        <w:t>5</w:t>
      </w:r>
      <w:r>
        <w:rPr>
          <w:rFonts w:hint="eastAsia" w:asciiTheme="minorEastAsia" w:hAnsiTheme="minorEastAsia" w:eastAsiaTheme="minorEastAsia" w:cstheme="minorEastAsia"/>
          <w:b/>
          <w:bCs/>
          <w:color w:val="333333"/>
          <w:kern w:val="0"/>
          <w:sz w:val="30"/>
          <w:szCs w:val="30"/>
          <w:lang w:val="en-US" w:eastAsia="zh-CN" w:bidi="ar"/>
        </w:rPr>
        <w:t xml:space="preserve">年部门预算情况说明 </w:t>
      </w:r>
    </w:p>
    <w:p w14:paraId="2341FB49">
      <w:pPr>
        <w:keepNext w:val="0"/>
        <w:keepLines w:val="0"/>
        <w:widowControl/>
        <w:suppressLineNumbers w:val="0"/>
        <w:jc w:val="left"/>
      </w:pPr>
      <w:r>
        <w:rPr>
          <w:rFonts w:hint="eastAsia" w:asciiTheme="minorEastAsia" w:hAnsiTheme="minorEastAsia" w:eastAsiaTheme="minorEastAsia" w:cstheme="minorEastAsia"/>
          <w:b/>
          <w:bCs/>
          <w:color w:val="333333"/>
          <w:kern w:val="0"/>
          <w:sz w:val="30"/>
          <w:szCs w:val="30"/>
          <w:lang w:val="en-US" w:eastAsia="zh-CN" w:bidi="ar"/>
        </w:rPr>
        <w:t>第四部分 名词解释</w:t>
      </w:r>
    </w:p>
    <w:p w14:paraId="62EC283F">
      <w:pPr>
        <w:ind w:firstLine="320" w:firstLineChars="100"/>
        <w:jc w:val="left"/>
        <w:rPr>
          <w:color w:val="000000"/>
          <w:sz w:val="32"/>
        </w:rPr>
      </w:pPr>
      <w:r>
        <w:rPr>
          <w:color w:val="000000"/>
          <w:sz w:val="32"/>
        </w:rPr>
        <w:t>
</w:t>
      </w:r>
    </w:p>
    <w:p w14:paraId="402EF143">
      <w:p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第一部分 部门概况</w:t>
      </w:r>
    </w:p>
    <w:p w14:paraId="7898C001">
      <w:pP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rPr>
        <w:t>一、部门主要职</w:t>
      </w:r>
      <w:r>
        <w:rPr>
          <w:rFonts w:hint="eastAsia" w:asciiTheme="minorEastAsia" w:hAnsiTheme="minorEastAsia" w:cstheme="minorEastAsia"/>
          <w:b/>
          <w:bCs/>
          <w:sz w:val="30"/>
          <w:szCs w:val="30"/>
          <w:lang w:val="en-US" w:eastAsia="zh-CN"/>
        </w:rPr>
        <w:t>能</w:t>
      </w:r>
    </w:p>
    <w:p w14:paraId="5BEC66B7">
      <w:pPr>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（一）开展健康教育、卫生研究相关工作。</w:t>
      </w:r>
    </w:p>
    <w:p w14:paraId="7AE25748">
      <w:pPr>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（二）为疾病预防控制提供技术支持和服务保障。</w:t>
      </w:r>
    </w:p>
    <w:p w14:paraId="1C21A808">
      <w:pPr>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（三）接受行业主管部门的业务指导和监督。</w:t>
      </w:r>
    </w:p>
    <w:p w14:paraId="7AE2F861">
      <w:pPr>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w:t>
      </w:r>
      <w:r>
        <w:rPr>
          <w:rFonts w:hint="eastAsia" w:asciiTheme="minorEastAsia" w:hAnsiTheme="minorEastAsia" w:cstheme="minorEastAsia"/>
          <w:b w:val="0"/>
          <w:bCs w:val="0"/>
          <w:sz w:val="30"/>
          <w:szCs w:val="30"/>
          <w:lang w:val="en-US" w:eastAsia="zh-CN"/>
        </w:rPr>
        <w:t>四</w:t>
      </w:r>
      <w:r>
        <w:rPr>
          <w:rFonts w:hint="eastAsia" w:asciiTheme="minorEastAsia" w:hAnsiTheme="minorEastAsia" w:eastAsiaTheme="minorEastAsia" w:cstheme="minorEastAsia"/>
          <w:b w:val="0"/>
          <w:bCs w:val="0"/>
          <w:sz w:val="30"/>
          <w:szCs w:val="30"/>
        </w:rPr>
        <w:t>）承担市委、市政府交办的其他工作。</w:t>
      </w:r>
    </w:p>
    <w:p w14:paraId="2219694C">
      <w:pPr>
        <w:rPr>
          <w:rFonts w:hint="eastAsia" w:asciiTheme="minorEastAsia" w:hAnsiTheme="minorEastAsia" w:eastAsiaTheme="minorEastAsia" w:cstheme="minorEastAsia"/>
          <w:b w:val="0"/>
          <w:bCs w:val="0"/>
          <w:sz w:val="30"/>
          <w:szCs w:val="30"/>
        </w:rPr>
      </w:pPr>
    </w:p>
    <w:p w14:paraId="1813E672">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二、部门预算单位构成</w:t>
      </w:r>
    </w:p>
    <w:p w14:paraId="49B57E98">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本次纳入202</w:t>
      </w:r>
      <w:r>
        <w:rPr>
          <w:rFonts w:hint="eastAsia" w:asciiTheme="minorEastAsia" w:hAnsiTheme="minorEastAsia" w:cstheme="minorEastAsia"/>
          <w:sz w:val="30"/>
          <w:szCs w:val="30"/>
          <w:lang w:val="en-US" w:eastAsia="zh-CN"/>
        </w:rPr>
        <w:t>5</w:t>
      </w:r>
      <w:r>
        <w:rPr>
          <w:rFonts w:hint="eastAsia" w:asciiTheme="minorEastAsia" w:hAnsiTheme="minorEastAsia" w:eastAsiaTheme="minorEastAsia" w:cstheme="minorEastAsia"/>
          <w:sz w:val="30"/>
          <w:szCs w:val="30"/>
        </w:rPr>
        <w:t>年部门预算编制范围的二级预算单位包括：</w:t>
      </w:r>
    </w:p>
    <w:p w14:paraId="36550085">
      <w:pPr>
        <w:ind w:firstLine="2400" w:firstLineChars="8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抚顺市疾病预防控制中心</w:t>
      </w:r>
    </w:p>
    <w:p w14:paraId="1116A174">
      <w:p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第二部分 202</w:t>
      </w:r>
      <w:r>
        <w:rPr>
          <w:rFonts w:hint="eastAsia" w:asciiTheme="minorEastAsia" w:hAnsiTheme="minorEastAsia" w:cstheme="minorEastAsia"/>
          <w:b/>
          <w:bCs/>
          <w:sz w:val="30"/>
          <w:szCs w:val="30"/>
          <w:lang w:val="en-US" w:eastAsia="zh-CN"/>
        </w:rPr>
        <w:t>5</w:t>
      </w:r>
      <w:r>
        <w:rPr>
          <w:rFonts w:hint="eastAsia" w:asciiTheme="minorEastAsia" w:hAnsiTheme="minorEastAsia" w:eastAsiaTheme="minorEastAsia" w:cstheme="minorEastAsia"/>
          <w:b/>
          <w:bCs/>
          <w:sz w:val="30"/>
          <w:szCs w:val="30"/>
        </w:rPr>
        <w:t>年部门预算表</w:t>
      </w:r>
    </w:p>
    <w:p w14:paraId="2E91B134">
      <w:pPr>
        <w:ind w:firstLine="1500" w:firstLineChars="5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w:t>
      </w:r>
      <w:r>
        <w:rPr>
          <w:rFonts w:hint="eastAsia" w:asciiTheme="minorEastAsia" w:hAnsiTheme="minorEastAsia" w:cstheme="minorEastAsia"/>
          <w:sz w:val="30"/>
          <w:szCs w:val="30"/>
          <w:lang w:val="en-US" w:eastAsia="zh-CN"/>
        </w:rPr>
        <w:t>5</w:t>
      </w:r>
      <w:r>
        <w:rPr>
          <w:rFonts w:hint="eastAsia" w:asciiTheme="minorEastAsia" w:hAnsiTheme="minorEastAsia" w:eastAsiaTheme="minorEastAsia" w:cstheme="minorEastAsia"/>
          <w:sz w:val="30"/>
          <w:szCs w:val="30"/>
        </w:rPr>
        <w:t>年部门预算公开表（PDF格式链接）</w:t>
      </w:r>
    </w:p>
    <w:p w14:paraId="7570233F">
      <w:pPr>
        <w:ind w:firstLine="1500" w:firstLineChars="500"/>
        <w:rPr>
          <w:rFonts w:hint="eastAsia" w:asciiTheme="minorEastAsia" w:hAnsiTheme="minorEastAsia" w:eastAsiaTheme="minorEastAsia" w:cstheme="minorEastAsia"/>
          <w:sz w:val="30"/>
          <w:szCs w:val="30"/>
        </w:rPr>
      </w:pPr>
    </w:p>
    <w:p w14:paraId="5735B556">
      <w:pPr>
        <w:ind w:firstLine="1500" w:firstLineChars="500"/>
        <w:rPr>
          <w:rFonts w:hint="eastAsia" w:asciiTheme="minorEastAsia" w:hAnsiTheme="minorEastAsia" w:eastAsiaTheme="minorEastAsia" w:cstheme="minorEastAsia"/>
          <w:sz w:val="30"/>
          <w:szCs w:val="30"/>
        </w:rPr>
      </w:pPr>
    </w:p>
    <w:p w14:paraId="7534CDE7">
      <w:pPr>
        <w:keepNext w:val="0"/>
        <w:keepLines w:val="0"/>
        <w:widowControl/>
        <w:suppressLineNumbers w:val="0"/>
        <w:jc w:val="center"/>
      </w:pPr>
      <w:r>
        <w:rPr>
          <w:rFonts w:ascii="仿宋" w:hAnsi="仿宋" w:eastAsia="仿宋" w:cs="仿宋"/>
          <w:b/>
          <w:bCs/>
          <w:color w:val="333333"/>
          <w:kern w:val="0"/>
          <w:sz w:val="31"/>
          <w:szCs w:val="31"/>
          <w:lang w:val="en-US" w:eastAsia="zh-CN" w:bidi="ar"/>
        </w:rPr>
        <w:t>第三部分：202</w:t>
      </w:r>
      <w:r>
        <w:rPr>
          <w:rFonts w:hint="eastAsia" w:ascii="仿宋" w:hAnsi="仿宋" w:eastAsia="仿宋" w:cs="仿宋"/>
          <w:b/>
          <w:bCs/>
          <w:color w:val="333333"/>
          <w:kern w:val="0"/>
          <w:sz w:val="31"/>
          <w:szCs w:val="31"/>
          <w:lang w:val="en-US" w:eastAsia="zh-CN" w:bidi="ar"/>
        </w:rPr>
        <w:t>5</w:t>
      </w:r>
      <w:r>
        <w:rPr>
          <w:rFonts w:ascii="仿宋" w:hAnsi="仿宋" w:eastAsia="仿宋" w:cs="仿宋"/>
          <w:b/>
          <w:bCs/>
          <w:color w:val="333333"/>
          <w:kern w:val="0"/>
          <w:sz w:val="31"/>
          <w:szCs w:val="31"/>
          <w:lang w:val="en-US" w:eastAsia="zh-CN" w:bidi="ar"/>
        </w:rPr>
        <w:t>年部门预算情况说明</w:t>
      </w:r>
    </w:p>
    <w:p w14:paraId="1E140EDD">
      <w:pPr>
        <w:keepNext w:val="0"/>
        <w:keepLines w:val="0"/>
        <w:widowControl/>
        <w:suppressLineNumbers w:val="0"/>
        <w:jc w:val="left"/>
      </w:pPr>
      <w:r>
        <w:rPr>
          <w:rFonts w:hint="eastAsia" w:ascii="仿宋" w:hAnsi="仿宋" w:eastAsia="仿宋" w:cs="仿宋"/>
          <w:b/>
          <w:bCs/>
          <w:color w:val="333333"/>
          <w:kern w:val="0"/>
          <w:sz w:val="30"/>
          <w:szCs w:val="30"/>
          <w:lang w:val="en-US" w:eastAsia="zh-CN" w:bidi="ar"/>
        </w:rPr>
        <w:t xml:space="preserve">一、关于 2025年收支预算情况的总体说明 </w:t>
      </w:r>
    </w:p>
    <w:p w14:paraId="1FC57692">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按照综合预算的原则，本部门及所属单位所有收入和支出均纳入部门预算管理。收入包括：财政拨款收入(含上级提前告知转移支付资金)、纳入预算管理的行政事业性收费收入、纳入预算管理的专项收入、纳入政府性基金预算管理收入(含上级提前告知转移支付资金)、纳入专户管理的行政事业性收费收入、政府住房收入、国有资源（资产）有偿使用收入、其他收入；支出包括：一般公共服务、公共安全支出、社会保障和就业支出、农林水事务支出、住房保障支出等。 </w:t>
      </w:r>
    </w:p>
    <w:p w14:paraId="64EC4AF1">
      <w:pPr>
        <w:keepNext w:val="0"/>
        <w:keepLines w:val="0"/>
        <w:widowControl/>
        <w:suppressLineNumbers w:val="0"/>
        <w:ind w:firstLine="600" w:firstLineChars="2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 xml:space="preserve">本部门及所属单位 2025 年收支总预算 2313.64 元。 收入预算增减情况：相比 2024 年收入预算减少了 83.24 万元，原因是财政收入压减。 </w:t>
      </w:r>
    </w:p>
    <w:p w14:paraId="7431DD9E">
      <w:pPr>
        <w:keepNext w:val="0"/>
        <w:keepLines w:val="0"/>
        <w:widowControl/>
        <w:suppressLineNumbers w:val="0"/>
        <w:ind w:firstLine="600" w:firstLineChars="2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 xml:space="preserve">2025 年，本部门及所属单位部门收入预算 2313.64万元， 支出预算增减情况： 2025年，本部门及所属单位部门总体情况支出2313.64 万元。相比 2024年支出预算减少了 83.24 万元，原因是财政收入压减。 </w:t>
      </w:r>
    </w:p>
    <w:p w14:paraId="5C52F54E">
      <w:pPr>
        <w:keepNext w:val="0"/>
        <w:keepLines w:val="0"/>
        <w:widowControl/>
        <w:suppressLineNumbers w:val="0"/>
        <w:ind w:firstLine="420" w:firstLineChars="200"/>
        <w:jc w:val="left"/>
        <w:rPr>
          <w:rFonts w:hint="default"/>
          <w:lang w:val="en-US"/>
        </w:rPr>
      </w:pPr>
    </w:p>
    <w:p w14:paraId="61002CD8">
      <w:pPr>
        <w:keepNext w:val="0"/>
        <w:keepLines w:val="0"/>
        <w:widowControl/>
        <w:suppressLineNumbers w:val="0"/>
        <w:jc w:val="left"/>
      </w:pPr>
      <w:r>
        <w:rPr>
          <w:rFonts w:hint="eastAsia" w:ascii="仿宋" w:hAnsi="仿宋" w:eastAsia="仿宋" w:cs="仿宋"/>
          <w:b/>
          <w:bCs/>
          <w:color w:val="333333"/>
          <w:kern w:val="0"/>
          <w:sz w:val="30"/>
          <w:szCs w:val="30"/>
          <w:lang w:val="en-US" w:eastAsia="zh-CN" w:bidi="ar"/>
        </w:rPr>
        <w:t xml:space="preserve">二、关于 2025 年财政拨款收支预算情况说明 </w:t>
      </w:r>
    </w:p>
    <w:p w14:paraId="70010546">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本部门及所属单位 2025 年财政拨款收支总预算 2313.64 </w:t>
      </w:r>
    </w:p>
    <w:p w14:paraId="219268F8">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万元，收入预算按来源分为财政拨款收入。按功能支出分类包 </w:t>
      </w:r>
    </w:p>
    <w:p w14:paraId="1E948D10">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括：一般公共服务支出  2313.64 万元；按经济支出分类包括:工资福利支出 1877.18 万元，商品和服务支出 324.28万元，对个人和家庭的补助支出 86.99 万元，项目支出 73.58万元。 </w:t>
      </w:r>
    </w:p>
    <w:p w14:paraId="65CEA66E">
      <w:pPr>
        <w:keepNext w:val="0"/>
        <w:keepLines w:val="0"/>
        <w:widowControl/>
        <w:suppressLineNumbers w:val="0"/>
        <w:jc w:val="left"/>
      </w:pPr>
      <w:r>
        <w:rPr>
          <w:rFonts w:hint="eastAsia" w:ascii="仿宋" w:hAnsi="仿宋" w:eastAsia="仿宋" w:cs="仿宋"/>
          <w:b/>
          <w:bCs/>
          <w:color w:val="333333"/>
          <w:kern w:val="0"/>
          <w:sz w:val="30"/>
          <w:szCs w:val="30"/>
          <w:lang w:val="en-US" w:eastAsia="zh-CN" w:bidi="ar"/>
        </w:rPr>
        <w:t xml:space="preserve">三、关于 2025年一般公共预算基本支出情况说明 </w:t>
      </w:r>
    </w:p>
    <w:p w14:paraId="2D933A4A">
      <w:pPr>
        <w:keepNext w:val="0"/>
        <w:keepLines w:val="0"/>
        <w:widowControl/>
        <w:suppressLineNumbers w:val="0"/>
        <w:ind w:firstLine="600" w:firstLineChars="2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 xml:space="preserve">本部门及所属单位 2025年一般公共预算基本支出2240.06 万元，其中：工资福利支出 1877.18万元，商品和服务支出 275.9 万元，对个人和家庭补助支出 86.99 万元。 人员经费 1877.18万元，主要包括：基本工资、津贴补贴（含购房补贴、在职个 人取暖费等）、奖金、绩效工资、机关事业单位基本养老保险、职工基本医疗保险缴费、住房公积金、其他社会保障缴费等（按单位实际情况填列）。 商品和服务支出 275.9 万元，主要包括：办公费、印刷费、邮电费、差旅费、维修（护）费、公务接待费、劳务费、工会经费、公务用车运行维护费、其他交通费用和其他商品服务支出等（按单位实际情况填列）。 </w:t>
      </w:r>
    </w:p>
    <w:p w14:paraId="3C4CD615">
      <w:pPr>
        <w:keepNext w:val="0"/>
        <w:keepLines w:val="0"/>
        <w:widowControl/>
        <w:suppressLineNumbers w:val="0"/>
        <w:jc w:val="left"/>
        <w:rPr>
          <w:rFonts w:hint="eastAsia" w:ascii="仿宋" w:hAnsi="仿宋" w:eastAsia="仿宋" w:cs="仿宋"/>
          <w:color w:val="333333"/>
          <w:kern w:val="0"/>
          <w:sz w:val="30"/>
          <w:szCs w:val="30"/>
          <w:lang w:val="en-US" w:eastAsia="zh-CN" w:bidi="ar"/>
        </w:rPr>
      </w:pPr>
    </w:p>
    <w:p w14:paraId="571A5B3D">
      <w:pPr>
        <w:keepNext w:val="0"/>
        <w:keepLines w:val="0"/>
        <w:widowControl/>
        <w:suppressLineNumbers w:val="0"/>
        <w:jc w:val="left"/>
      </w:pPr>
      <w:r>
        <w:rPr>
          <w:rFonts w:hint="eastAsia" w:ascii="仿宋" w:hAnsi="仿宋" w:eastAsia="仿宋" w:cs="仿宋"/>
          <w:color w:val="333333"/>
          <w:kern w:val="0"/>
          <w:sz w:val="30"/>
          <w:szCs w:val="30"/>
          <w:lang w:val="en-US" w:eastAsia="zh-CN" w:bidi="ar"/>
        </w:rPr>
        <w:t>三、</w:t>
      </w:r>
      <w:r>
        <w:rPr>
          <w:rFonts w:hint="eastAsia" w:ascii="仿宋" w:hAnsi="仿宋" w:eastAsia="仿宋" w:cs="仿宋"/>
          <w:b/>
          <w:bCs/>
          <w:color w:val="333333"/>
          <w:kern w:val="0"/>
          <w:sz w:val="30"/>
          <w:szCs w:val="30"/>
          <w:lang w:val="en-US" w:eastAsia="zh-CN" w:bidi="ar"/>
        </w:rPr>
        <w:t xml:space="preserve">关于 2025 年“三公”经费预算情况说明 </w:t>
      </w:r>
    </w:p>
    <w:p w14:paraId="1551DEDA">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2025 年“三公”经费预算数22.85万元，其中：公务接待 </w:t>
      </w:r>
    </w:p>
    <w:p w14:paraId="17FA5913">
      <w:pPr>
        <w:numPr>
          <w:ilvl w:val="0"/>
          <w:numId w:val="0"/>
        </w:numPr>
        <w:jc w:val="left"/>
        <w:rPr>
          <w:rFonts w:hint="eastAsia" w:asciiTheme="minorEastAsia" w:hAnsiTheme="minorEastAsia" w:eastAsiaTheme="minorEastAsia" w:cstheme="minorEastAsia"/>
          <w:sz w:val="32"/>
          <w:szCs w:val="32"/>
        </w:rPr>
      </w:pPr>
      <w:r>
        <w:rPr>
          <w:rFonts w:hint="eastAsia" w:ascii="仿宋" w:hAnsi="仿宋" w:eastAsia="仿宋" w:cs="仿宋"/>
          <w:color w:val="333333"/>
          <w:kern w:val="0"/>
          <w:sz w:val="30"/>
          <w:szCs w:val="30"/>
          <w:lang w:val="en-US" w:eastAsia="zh-CN" w:bidi="ar"/>
        </w:rPr>
        <w:t>费用 0 万元；因公出国（境）经费支出 0 万元；公务用车运行维护费22.85万元。比2024年增加5.45万元，主要原因是</w:t>
      </w:r>
      <w:r>
        <w:rPr>
          <w:rFonts w:hint="eastAsia" w:ascii="仿宋" w:hAnsi="仿宋" w:eastAsia="仿宋" w:cs="仿宋"/>
          <w:color w:val="000000"/>
          <w:sz w:val="32"/>
          <w:lang w:val="en-US" w:eastAsia="zh-CN"/>
        </w:rPr>
        <w:t>2025年车辆编制文中：纳入预算安排的实有车辆为13台，其中</w:t>
      </w:r>
      <w:r>
        <w:rPr>
          <w:rFonts w:hint="eastAsia" w:ascii="仿宋" w:hAnsi="仿宋" w:eastAsia="仿宋" w:cs="仿宋"/>
          <w:i w:val="0"/>
          <w:iCs w:val="0"/>
          <w:caps w:val="0"/>
          <w:color w:val="262626"/>
          <w:spacing w:val="0"/>
          <w:sz w:val="32"/>
          <w:szCs w:val="32"/>
          <w:shd w:val="clear" w:fill="FFFFFF"/>
        </w:rPr>
        <w:t>机要通信和应急保障等用车</w:t>
      </w:r>
      <w:r>
        <w:rPr>
          <w:rFonts w:hint="eastAsia" w:ascii="仿宋" w:hAnsi="仿宋" w:eastAsia="仿宋" w:cs="仿宋"/>
          <w:color w:val="000000"/>
          <w:sz w:val="32"/>
          <w:lang w:val="en-US" w:eastAsia="zh-CN"/>
        </w:rPr>
        <w:t>2辆</w:t>
      </w:r>
      <w:r>
        <w:rPr>
          <w:rFonts w:hint="eastAsia" w:ascii="仿宋" w:hAnsi="仿宋" w:eastAsia="仿宋" w:cs="仿宋"/>
          <w:i w:val="0"/>
          <w:iCs w:val="0"/>
          <w:caps w:val="0"/>
          <w:color w:val="262626"/>
          <w:spacing w:val="0"/>
          <w:sz w:val="32"/>
          <w:szCs w:val="32"/>
          <w:shd w:val="clear" w:fill="FFFFFF"/>
          <w:lang w:eastAsia="zh-CN"/>
        </w:rPr>
        <w:t>，</w:t>
      </w:r>
      <w:r>
        <w:rPr>
          <w:rFonts w:hint="eastAsia" w:ascii="仿宋" w:hAnsi="仿宋" w:eastAsia="仿宋" w:cs="仿宋"/>
          <w:i w:val="0"/>
          <w:iCs w:val="0"/>
          <w:caps w:val="0"/>
          <w:color w:val="262626"/>
          <w:spacing w:val="0"/>
          <w:sz w:val="32"/>
          <w:szCs w:val="32"/>
          <w:shd w:val="clear" w:fill="FFFFFF"/>
          <w:lang w:val="en-US" w:eastAsia="zh-CN"/>
        </w:rPr>
        <w:t>特种专业技术用车4辆，其他按规定配备的公务车7辆</w:t>
      </w:r>
      <w:r>
        <w:rPr>
          <w:rFonts w:hint="eastAsia" w:ascii="仿宋" w:hAnsi="仿宋" w:eastAsia="仿宋" w:cs="仿宋"/>
          <w:color w:val="000000"/>
          <w:sz w:val="32"/>
          <w:szCs w:val="32"/>
          <w:lang w:eastAsia="zh-CN"/>
        </w:rPr>
        <w:t>。</w:t>
      </w:r>
      <w:r>
        <w:rPr>
          <w:rFonts w:hint="eastAsia" w:asciiTheme="minorEastAsia" w:hAnsiTheme="minorEastAsia" w:eastAsiaTheme="minorEastAsia" w:cstheme="minorEastAsia"/>
          <w:color w:val="000000"/>
          <w:sz w:val="32"/>
          <w:szCs w:val="32"/>
        </w:rPr>
        <w:t>
</w:t>
      </w:r>
    </w:p>
    <w:p w14:paraId="10493874">
      <w:pPr>
        <w:keepNext w:val="0"/>
        <w:keepLines w:val="0"/>
        <w:widowControl/>
        <w:suppressLineNumbers w:val="0"/>
        <w:jc w:val="left"/>
      </w:pPr>
      <w:r>
        <w:rPr>
          <w:rFonts w:hint="eastAsia" w:ascii="仿宋" w:hAnsi="仿宋" w:eastAsia="仿宋" w:cs="仿宋"/>
          <w:b/>
          <w:bCs/>
          <w:color w:val="333333"/>
          <w:kern w:val="0"/>
          <w:sz w:val="30"/>
          <w:szCs w:val="30"/>
          <w:lang w:val="en-US" w:eastAsia="zh-CN" w:bidi="ar"/>
        </w:rPr>
        <w:t>四</w:t>
      </w:r>
      <w:r>
        <w:rPr>
          <w:rFonts w:hint="eastAsia" w:ascii="仿宋" w:hAnsi="仿宋" w:eastAsia="仿宋" w:cs="仿宋"/>
          <w:color w:val="333333"/>
          <w:kern w:val="0"/>
          <w:sz w:val="30"/>
          <w:szCs w:val="30"/>
          <w:lang w:val="en-US" w:eastAsia="zh-CN" w:bidi="ar"/>
        </w:rPr>
        <w:t>、</w:t>
      </w:r>
      <w:r>
        <w:rPr>
          <w:rFonts w:hint="eastAsia" w:ascii="仿宋" w:hAnsi="仿宋" w:eastAsia="仿宋" w:cs="仿宋"/>
          <w:b/>
          <w:bCs/>
          <w:color w:val="333333"/>
          <w:kern w:val="0"/>
          <w:sz w:val="30"/>
          <w:szCs w:val="30"/>
          <w:lang w:val="en-US" w:eastAsia="zh-CN" w:bidi="ar"/>
        </w:rPr>
        <w:t xml:space="preserve">其他重要事项情况说明 </w:t>
      </w:r>
    </w:p>
    <w:p w14:paraId="347AA7A8">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（一）机关运行经费情况 </w:t>
      </w:r>
    </w:p>
    <w:p w14:paraId="09DF31F0">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2025年事业单位运行经费预算为2313.64万元， </w:t>
      </w:r>
    </w:p>
    <w:p w14:paraId="527373DF">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（二）政府采购情况 </w:t>
      </w:r>
    </w:p>
    <w:p w14:paraId="1E7CF419">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2025年我部门政府采购预算 0 万元，共包括 0 个 采购项目。 </w:t>
      </w:r>
    </w:p>
    <w:p w14:paraId="7A6DC3C4">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（三）政府购买服务情况 </w:t>
      </w:r>
    </w:p>
    <w:p w14:paraId="3486085C">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2025 年我部门政府购买服务预算 0 万元. </w:t>
      </w:r>
    </w:p>
    <w:p w14:paraId="5DD3529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（四）国有资产占有使用情况 </w:t>
      </w:r>
    </w:p>
    <w:p w14:paraId="6D7BE0CE">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截至 2025 年 12 月，本单位共有 0 万元。 </w:t>
      </w:r>
    </w:p>
    <w:p w14:paraId="71F53080">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（五）预算绩效情况 </w:t>
      </w:r>
    </w:p>
    <w:p w14:paraId="6195F507">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2025 年所有项目支出均填报了绩效目标，共涉及 7个项目，项目支出预算合计为 73.58 万元。单个项目支出绩效目标和指标详见附表。 </w:t>
      </w:r>
    </w:p>
    <w:p w14:paraId="0B9E0692">
      <w:pPr>
        <w:keepNext w:val="0"/>
        <w:keepLines w:val="0"/>
        <w:widowControl/>
        <w:numPr>
          <w:ilvl w:val="0"/>
          <w:numId w:val="1"/>
        </w:numPr>
        <w:suppressLineNumbers w:val="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 xml:space="preserve">预算公开表数据中无数据的情况说明 </w:t>
      </w:r>
    </w:p>
    <w:p w14:paraId="5AFF24A6">
      <w:pPr>
        <w:keepNext w:val="0"/>
        <w:keepLines w:val="0"/>
        <w:widowControl/>
        <w:numPr>
          <w:numId w:val="0"/>
        </w:numPr>
        <w:suppressLineNumbers w:val="0"/>
        <w:ind w:firstLine="900" w:firstLineChars="300"/>
        <w:jc w:val="left"/>
      </w:pPr>
      <w:r>
        <w:rPr>
          <w:rFonts w:hint="eastAsia" w:ascii="仿宋" w:hAnsi="仿宋" w:eastAsia="仿宋" w:cs="仿宋"/>
          <w:color w:val="333333"/>
          <w:kern w:val="0"/>
          <w:sz w:val="30"/>
          <w:szCs w:val="30"/>
          <w:lang w:val="en-US" w:eastAsia="zh-CN" w:bidi="ar"/>
        </w:rPr>
        <w:t xml:space="preserve">2025 年预算中没有事项和相关收入/支出，相应表格为空表。 </w:t>
      </w:r>
    </w:p>
    <w:p w14:paraId="3A51FE77">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十二、 2025 年部门（政府性基金收入）政府性基金预算支出 </w:t>
      </w:r>
    </w:p>
    <w:p w14:paraId="0C140F1B">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情况表 </w:t>
      </w:r>
    </w:p>
    <w:p w14:paraId="045C3ABD">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十三、2025年部门（国有资本经营收入）国有资本经营预算支出情况表 </w:t>
      </w:r>
    </w:p>
    <w:p w14:paraId="12FFEA13">
      <w:pPr>
        <w:keepNext w:val="0"/>
        <w:keepLines w:val="0"/>
        <w:widowControl/>
        <w:suppressLineNumbers w:val="0"/>
        <w:ind w:firstLine="600" w:firstLineChars="2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十五、2025年部门政府采购支出预算表</w:t>
      </w:r>
    </w:p>
    <w:p w14:paraId="4BDB8075">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十六、2025 年部门政府购买服务支出预算表 </w:t>
      </w:r>
    </w:p>
    <w:p w14:paraId="5D45D197">
      <w:pPr>
        <w:keepNext w:val="0"/>
        <w:keepLines w:val="0"/>
        <w:widowControl/>
        <w:suppressLineNumbers w:val="0"/>
        <w:ind w:firstLine="600" w:firstLineChars="200"/>
        <w:jc w:val="left"/>
      </w:pPr>
      <w:r>
        <w:rPr>
          <w:rFonts w:hint="eastAsia" w:ascii="仿宋" w:hAnsi="仿宋" w:eastAsia="仿宋" w:cs="仿宋"/>
          <w:color w:val="333333"/>
          <w:kern w:val="0"/>
          <w:sz w:val="30"/>
          <w:szCs w:val="30"/>
          <w:lang w:val="en-US" w:eastAsia="zh-CN" w:bidi="ar"/>
        </w:rPr>
        <w:t xml:space="preserve">十八、2025年部门一般公共预算机关运行经费明细表 </w:t>
      </w:r>
    </w:p>
    <w:p w14:paraId="41A8900E">
      <w:pPr>
        <w:keepNext w:val="0"/>
        <w:keepLines w:val="0"/>
        <w:widowControl/>
        <w:suppressLineNumbers w:val="0"/>
        <w:jc w:val="center"/>
      </w:pPr>
      <w:r>
        <w:rPr>
          <w:rFonts w:hint="eastAsia" w:ascii="仿宋" w:hAnsi="仿宋" w:eastAsia="仿宋" w:cs="仿宋"/>
          <w:b/>
          <w:bCs/>
          <w:color w:val="333333"/>
          <w:kern w:val="0"/>
          <w:sz w:val="31"/>
          <w:szCs w:val="31"/>
          <w:lang w:val="en-US" w:eastAsia="zh-CN" w:bidi="ar"/>
        </w:rPr>
        <w:t>第四部分：名词解释</w:t>
      </w:r>
    </w:p>
    <w:p w14:paraId="5BCF20AA">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1.财政拨款收入：指省级财政当年拨付的资金。 </w:t>
      </w:r>
    </w:p>
    <w:p w14:paraId="70B18053">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2.上级补助收入：指单位从主管部门和上级单位取得的非财政性 </w:t>
      </w:r>
    </w:p>
    <w:p w14:paraId="5C104D32">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补助收入。 </w:t>
      </w:r>
    </w:p>
    <w:p w14:paraId="6656488F">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3.事业收入：指事业单位开展专业业务活动及辅助活动所取得的 </w:t>
      </w:r>
    </w:p>
    <w:p w14:paraId="4778F9A2">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收入。 </w:t>
      </w:r>
    </w:p>
    <w:p w14:paraId="5C5F3FAE">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4.经营收入：指事业单位在专业业务活动及辅助活动之外开展非 </w:t>
      </w:r>
    </w:p>
    <w:p w14:paraId="1693D30F">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独立核算经营活动取得的收入。 </w:t>
      </w:r>
    </w:p>
    <w:p w14:paraId="4346F010">
      <w:pPr>
        <w:keepNext w:val="0"/>
        <w:keepLines w:val="0"/>
        <w:widowControl/>
        <w:numPr>
          <w:ilvl w:val="0"/>
          <w:numId w:val="2"/>
        </w:numPr>
        <w:suppressLineNumbers w:val="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附属单位上缴收入：指单位附属的独立核算单位按照规定上缴的收入。</w:t>
      </w:r>
    </w:p>
    <w:p w14:paraId="6358ADA8">
      <w:pPr>
        <w:keepNext w:val="0"/>
        <w:keepLines w:val="0"/>
        <w:widowControl/>
        <w:numPr>
          <w:numId w:val="0"/>
        </w:numPr>
        <w:suppressLineNumbers w:val="0"/>
        <w:jc w:val="left"/>
      </w:pPr>
      <w:r>
        <w:rPr>
          <w:rFonts w:hint="eastAsia" w:ascii="仿宋" w:hAnsi="仿宋" w:eastAsia="仿宋" w:cs="仿宋"/>
          <w:color w:val="333333"/>
          <w:kern w:val="0"/>
          <w:sz w:val="30"/>
          <w:szCs w:val="30"/>
          <w:lang w:val="en-US" w:eastAsia="zh-CN" w:bidi="ar"/>
        </w:rPr>
        <w:t xml:space="preserve">6.其他收入：指除上述“财政拨款收入”、 “上级补助收入”、 </w:t>
      </w:r>
    </w:p>
    <w:p w14:paraId="3E63F7F3">
      <w:pPr>
        <w:keepNext w:val="0"/>
        <w:keepLines w:val="0"/>
        <w:widowControl/>
        <w:suppressLineNumbers w:val="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“事业收入”、“经营收入”、“附属单位上缴收入”等以外的收入。</w:t>
      </w:r>
    </w:p>
    <w:p w14:paraId="56277B06">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7.用事业基金弥补收支差额：指事业单位在当年的“财 </w:t>
      </w:r>
    </w:p>
    <w:p w14:paraId="624265A5">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政拨款收入”、“财政拨款结转和结余资金”、“上级补助收入”、 </w:t>
      </w:r>
    </w:p>
    <w:p w14:paraId="70691CA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事业收入”、“经营收入”、“附属单位上缴收入”、“其他收入”不足以安排当年支出情况下，使用以前年度积累的事业基金（事业单位当年收支相抵后按国家规定提取、用于弥补以后年度收支差额的基金）弥补本年度收支缺口的资金。 </w:t>
      </w:r>
    </w:p>
    <w:p w14:paraId="551C750E">
      <w:pPr>
        <w:keepNext w:val="0"/>
        <w:keepLines w:val="0"/>
        <w:widowControl/>
        <w:numPr>
          <w:ilvl w:val="0"/>
          <w:numId w:val="3"/>
        </w:numPr>
        <w:suppressLineNumbers w:val="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上年结转和结余：指以前年度尚未完成、结转到本年按有关规定继续使用的资金。</w:t>
      </w:r>
    </w:p>
    <w:p w14:paraId="089CC7CF">
      <w:pPr>
        <w:keepNext w:val="0"/>
        <w:keepLines w:val="0"/>
        <w:widowControl/>
        <w:numPr>
          <w:numId w:val="0"/>
        </w:numPr>
        <w:suppressLineNumbers w:val="0"/>
        <w:jc w:val="left"/>
      </w:pPr>
      <w:r>
        <w:rPr>
          <w:rFonts w:hint="eastAsia" w:ascii="仿宋" w:hAnsi="仿宋" w:eastAsia="仿宋" w:cs="仿宋"/>
          <w:color w:val="333333"/>
          <w:kern w:val="0"/>
          <w:sz w:val="30"/>
          <w:szCs w:val="30"/>
          <w:lang w:val="en-US" w:eastAsia="zh-CN" w:bidi="ar"/>
        </w:rPr>
        <w:t xml:space="preserve">9.基本支出：指保障机构正常运转、完成日常工作任务而发生的人员支出和公用支出。 </w:t>
      </w:r>
    </w:p>
    <w:p w14:paraId="3AC3CA2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10.项目支出：指在基本支出之外为完成特定行政任务和事业发 </w:t>
      </w:r>
    </w:p>
    <w:p w14:paraId="57824CCB">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展目标所发生的支出。 </w:t>
      </w:r>
    </w:p>
    <w:p w14:paraId="6D6765B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11.上缴上级支出：指事业单位按照财政部门和主管部门的规定 </w:t>
      </w:r>
    </w:p>
    <w:p w14:paraId="49CCBB18">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上缴上级单位的支出。 </w:t>
      </w:r>
    </w:p>
    <w:p w14:paraId="0109BFC6">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12.经营支出：指事业单位在专业活动及辅助活动之外开展非独 </w:t>
      </w:r>
    </w:p>
    <w:p w14:paraId="78C7D7D2">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立核算经营活动发生的支出。 </w:t>
      </w:r>
    </w:p>
    <w:p w14:paraId="65BE25DD">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13.对附属单位补助支出：指事业单位用财政补助收入之外的收 </w:t>
      </w:r>
    </w:p>
    <w:p w14:paraId="430B20B5">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入对附属单位补助发生的支出。 </w:t>
      </w:r>
    </w:p>
    <w:p w14:paraId="12996183">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14.“三公”经费：指用财政拨款安排的因公出国（境）费、公 </w:t>
      </w:r>
    </w:p>
    <w:p w14:paraId="61C488C0">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14:paraId="245778B9">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15.一般公共服务（类）财政事务（款）行政运行（项）：反映 </w:t>
      </w:r>
    </w:p>
    <w:p w14:paraId="14C63343">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行政单位（包括实行公务员管理的事业单位）的基本支出。 </w:t>
      </w:r>
    </w:p>
    <w:p w14:paraId="682C4E5D">
      <w:pPr>
        <w:keepNext w:val="0"/>
        <w:keepLines w:val="0"/>
        <w:widowControl/>
        <w:numPr>
          <w:ilvl w:val="0"/>
          <w:numId w:val="4"/>
        </w:numPr>
        <w:suppressLineNumbers w:val="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一般公共服务（类）财政事务（款）一般行政管理事务（项）：反映行政单位（包括实行公务员管理的事业单位）未单独设置项级科目的其他项目支出。</w:t>
      </w:r>
    </w:p>
    <w:p w14:paraId="1709428C">
      <w:pPr>
        <w:keepNext w:val="0"/>
        <w:keepLines w:val="0"/>
        <w:widowControl/>
        <w:numPr>
          <w:numId w:val="0"/>
        </w:numPr>
        <w:suppressLineNumbers w:val="0"/>
        <w:jc w:val="left"/>
      </w:pPr>
      <w:r>
        <w:rPr>
          <w:rFonts w:hint="eastAsia" w:ascii="仿宋" w:hAnsi="仿宋" w:eastAsia="仿宋" w:cs="仿宋"/>
          <w:color w:val="333333"/>
          <w:kern w:val="0"/>
          <w:sz w:val="30"/>
          <w:szCs w:val="30"/>
          <w:lang w:val="en-US" w:eastAsia="zh-CN" w:bidi="ar"/>
        </w:rPr>
        <w:t xml:space="preserve">17.一般公共服务（类）财政事务（款）预算改革业务（项）： </w:t>
      </w:r>
    </w:p>
    <w:p w14:paraId="6A757114">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反映财政部门用于预算改革方面的支出。 </w:t>
      </w:r>
    </w:p>
    <w:p w14:paraId="225A8A61">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18.一般公共服务（类）财政事务（款）财政国库业务（项）： </w:t>
      </w:r>
    </w:p>
    <w:p w14:paraId="04A09B03">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反映财政部门用于财政国库集中收付业务方面的支出。 </w:t>
      </w:r>
    </w:p>
    <w:p w14:paraId="169F40A0">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19.一般公共服务（类）财政事务（款）信息化建设支（项）： </w:t>
      </w:r>
    </w:p>
    <w:p w14:paraId="54A0822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反映财政部门用于“金财工程”等信息化建设方面的支出。 </w:t>
      </w:r>
    </w:p>
    <w:p w14:paraId="1649C32A">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20.一般公共服务（类）财政事务（款）事业运行（项）：反映 </w:t>
      </w:r>
    </w:p>
    <w:p w14:paraId="64D0EABE">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事业单位的基本支出，不包括行政单位（包括实行公务员管理的事业单位）后勤服务中心、医务室等附属事业单位。 </w:t>
      </w:r>
    </w:p>
    <w:p w14:paraId="5EC0DD22">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21.一般公共服务（类）财政事务（款）其他财政事务支出（项）：反映除上述项目以外其他财政事务方面的支出。 </w:t>
      </w:r>
    </w:p>
    <w:p w14:paraId="4CF7B25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22.一般公共服务（类）其他一般公共服务支出（款）其他一般 </w:t>
      </w:r>
    </w:p>
    <w:p w14:paraId="5D4E74F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公共服务支出（项）：反映除上述项目以外的其他一般公共服务支出。 </w:t>
      </w:r>
    </w:p>
    <w:p w14:paraId="21D3D005">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23.社会保障和就业（类）行政事业单位离退休（款）归口管理 </w:t>
      </w:r>
    </w:p>
    <w:p w14:paraId="420887A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的行政单位离退休（项）：反映实行归口管理的行政单位（包括实行公务员管理的事业单位）开支的离退休经费。 </w:t>
      </w:r>
    </w:p>
    <w:p w14:paraId="5E47F2AD">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24.社会保障和就业（类）行政事业单位离退休（款）事业单位 </w:t>
      </w:r>
    </w:p>
    <w:p w14:paraId="4789F4DF">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离退休（项）：反映实行归口管理的事业单位开支的离退休经费。 </w:t>
      </w:r>
    </w:p>
    <w:p w14:paraId="69CF8B95">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25.医疗卫生（类）医疗保障（款）行政单位医疗（项）：反映 </w:t>
      </w:r>
    </w:p>
    <w:p w14:paraId="2AB3BE86">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财政部门集中安排的行政单位基本医疗保险缴费经费，未参加医疗保险的行政单位的公费医疗经费，按国家规定享受离休人员、红军老战士待遇人员的医疗经费。 </w:t>
      </w:r>
    </w:p>
    <w:p w14:paraId="633C27DC">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26.医疗卫生（类）其他医疗卫生支出（款）其他医疗卫生支出 </w:t>
      </w:r>
    </w:p>
    <w:p w14:paraId="430A6EE2">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（项）：反映除上述项目以外其他用于医疗卫生方面的支出。 </w:t>
      </w:r>
    </w:p>
    <w:p w14:paraId="79473411">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27.住房保障（类）住房改革（款）住房公积金（项）：反映行 </w:t>
      </w:r>
    </w:p>
    <w:p w14:paraId="23225F7B">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政事业单位按人力资源和社会保障部、财政部规定的基本工资和津贴补贴以及规定比例为职工缴纳的住房公积金。 </w:t>
      </w:r>
    </w:p>
    <w:p w14:paraId="292E2BA9">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28.其他支出（类）其他支出（款）其他支出（项）：反映其他 </w:t>
      </w:r>
    </w:p>
    <w:p w14:paraId="560DF703">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不能划分到具体功能科目中的支出项目。 </w:t>
      </w:r>
    </w:p>
    <w:p w14:paraId="76FCDF04">
      <w:pPr>
        <w:keepNext w:val="0"/>
        <w:keepLines w:val="0"/>
        <w:widowControl/>
        <w:suppressLineNumbers w:val="0"/>
        <w:jc w:val="left"/>
      </w:pPr>
      <w:r>
        <w:rPr>
          <w:rFonts w:hint="eastAsia" w:ascii="仿宋" w:hAnsi="仿宋" w:eastAsia="仿宋" w:cs="仿宋"/>
          <w:color w:val="333333"/>
          <w:kern w:val="0"/>
          <w:sz w:val="30"/>
          <w:szCs w:val="30"/>
          <w:lang w:val="en-US" w:eastAsia="zh-CN" w:bidi="ar"/>
        </w:rPr>
        <w:t xml:space="preserve">29.机关运行经费：为保障行政单位（含参照公务员法管理的事 </w:t>
      </w:r>
    </w:p>
    <w:p w14:paraId="5611C290">
      <w:pPr>
        <w:keepNext w:val="0"/>
        <w:keepLines w:val="0"/>
        <w:widowControl/>
        <w:suppressLineNumbers w:val="0"/>
        <w:jc w:val="left"/>
      </w:pPr>
      <w:r>
        <w:rPr>
          <w:rFonts w:hint="eastAsia" w:ascii="仿宋" w:hAnsi="仿宋" w:eastAsia="仿宋" w:cs="仿宋"/>
          <w:color w:val="333333"/>
          <w:kern w:val="0"/>
          <w:sz w:val="30"/>
          <w:szCs w:val="30"/>
          <w:lang w:val="en-US" w:eastAsia="zh-CN" w:bidi="ar"/>
        </w:rPr>
        <w:t>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5BEF4E"/>
    <w:p w14:paraId="36DF05E7">
      <w:pPr>
        <w:jc w:val="left"/>
        <w:rPr>
          <w:rFonts w:hint="eastAsia" w:eastAsiaTheme="minorEastAsia"/>
          <w:color w:val="000000"/>
          <w:sz w:val="32"/>
          <w:lang w:eastAsia="zh-CN"/>
        </w:rPr>
      </w:pPr>
    </w:p>
    <w:p w14:paraId="1DB22924">
      <w:pPr>
        <w:jc w:val="left"/>
      </w:pPr>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61857"/>
    <w:multiLevelType w:val="singleLevel"/>
    <w:tmpl w:val="FE761857"/>
    <w:lvl w:ilvl="0" w:tentative="0">
      <w:start w:val="8"/>
      <w:numFmt w:val="decimal"/>
      <w:lvlText w:val="%1."/>
      <w:lvlJc w:val="left"/>
      <w:pPr>
        <w:tabs>
          <w:tab w:val="left" w:pos="312"/>
        </w:tabs>
      </w:pPr>
    </w:lvl>
  </w:abstractNum>
  <w:abstractNum w:abstractNumId="1">
    <w:nsid w:val="0F4EECA8"/>
    <w:multiLevelType w:val="singleLevel"/>
    <w:tmpl w:val="0F4EECA8"/>
    <w:lvl w:ilvl="0" w:tentative="0">
      <w:start w:val="16"/>
      <w:numFmt w:val="decimal"/>
      <w:lvlText w:val="%1."/>
      <w:lvlJc w:val="left"/>
      <w:pPr>
        <w:tabs>
          <w:tab w:val="left" w:pos="312"/>
        </w:tabs>
      </w:pPr>
    </w:lvl>
  </w:abstractNum>
  <w:abstractNum w:abstractNumId="2">
    <w:nsid w:val="117B189A"/>
    <w:multiLevelType w:val="singleLevel"/>
    <w:tmpl w:val="117B189A"/>
    <w:lvl w:ilvl="0" w:tentative="0">
      <w:start w:val="6"/>
      <w:numFmt w:val="chineseCounting"/>
      <w:suff w:val="nothing"/>
      <w:lvlText w:val="（%1）"/>
      <w:lvlJc w:val="left"/>
      <w:rPr>
        <w:rFonts w:hint="eastAsia"/>
      </w:rPr>
    </w:lvl>
  </w:abstractNum>
  <w:abstractNum w:abstractNumId="3">
    <w:nsid w:val="417B093F"/>
    <w:multiLevelType w:val="singleLevel"/>
    <w:tmpl w:val="417B093F"/>
    <w:lvl w:ilvl="0" w:tentative="0">
      <w:start w:val="5"/>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A7D4B"/>
    <w:rsid w:val="19864975"/>
    <w:rsid w:val="33036367"/>
    <w:rsid w:val="37516473"/>
    <w:rsid w:val="3A717E2E"/>
    <w:rsid w:val="5B2A30A1"/>
    <w:rsid w:val="696B12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952</Words>
  <Characters>1091</Characters>
  <TotalTime>15</TotalTime>
  <ScaleCrop>false</ScaleCrop>
  <LinksUpToDate>false</LinksUpToDate>
  <CharactersWithSpaces>1091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2025-01-13T02:37:00Z</dcterms:created>
  <dc:creator>Apache POI</dc:creator>
  <cp:lastModifiedBy>Xee</cp:lastModifiedBy>
  <cp:lastPrinted>2026-04-21T01:41:10Z</cp:lastPrinted>
  <dcterms:modified xsi:type="dcterms:W3CDTF">2026-04-21T02:08:51Z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eyJoZGlkIjoiMTExZjIwNzMxY2IwMTFkZmQzZmI5ZmU2Nzc2MjE4YWYiLCJ1c2VySWQiOiIyNjgyMTM5NTUifQ==</vt:lpwstr>
  </property>
  <property fmtid="{D5CDD505-2E9C-101B-9397-08002B2CF9AE}" pid="3" name="KSOProductBuildVer">
    <vt:lpwstr>2052-12.1.0.25225</vt:lpwstr>
  </property>
  <property fmtid="{D5CDD505-2E9C-101B-9397-08002B2CF9AE}" pid="4" name="ICV">
    <vt:lpwstr>0C484934C2D74F4B8668AE9C961A9E86_13</vt:lpwstr>
  </property>
</Properties>
</file>