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b/>
          <w:bCs/>
          <w:color w:val="000000"/>
          <w:kern w:val="0"/>
          <w:sz w:val="44"/>
          <w:szCs w:val="44"/>
        </w:rPr>
      </w:pPr>
    </w:p>
    <w:p>
      <w:pPr>
        <w:widowControl/>
        <w:shd w:val="clear" w:color="auto" w:fill="FFFFFF"/>
        <w:jc w:val="center"/>
        <w:rPr>
          <w:rFonts w:hint="eastAsia" w:ascii="宋体" w:hAnsi="宋体"/>
          <w:b/>
          <w:bCs/>
          <w:color w:val="000000"/>
          <w:kern w:val="0"/>
          <w:sz w:val="44"/>
          <w:szCs w:val="44"/>
        </w:rPr>
      </w:pPr>
      <w:r>
        <w:rPr>
          <w:b/>
          <w:bCs/>
          <w:color w:val="000000"/>
          <w:kern w:val="0"/>
          <w:sz w:val="44"/>
          <w:szCs w:val="44"/>
        </w:rPr>
        <w:t>202</w:t>
      </w:r>
      <w:r>
        <w:rPr>
          <w:rFonts w:hint="eastAsia"/>
          <w:b/>
          <w:bCs/>
          <w:color w:val="000000"/>
          <w:kern w:val="0"/>
          <w:sz w:val="44"/>
          <w:szCs w:val="44"/>
        </w:rPr>
        <w:t>3</w:t>
      </w:r>
      <w:r>
        <w:rPr>
          <w:rFonts w:hint="eastAsia" w:ascii="宋体" w:hAnsi="宋体"/>
          <w:b/>
          <w:bCs/>
          <w:color w:val="000000"/>
          <w:kern w:val="0"/>
          <w:sz w:val="44"/>
          <w:szCs w:val="44"/>
        </w:rPr>
        <w:t>年部门预算公开说明</w:t>
      </w:r>
    </w:p>
    <w:p>
      <w:pPr>
        <w:widowControl/>
        <w:shd w:val="clear" w:color="auto" w:fill="FFFFFF"/>
        <w:jc w:val="center"/>
        <w:rPr>
          <w:color w:val="000000"/>
          <w:kern w:val="0"/>
          <w:szCs w:val="21"/>
        </w:rPr>
      </w:pPr>
    </w:p>
    <w:p>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第一部分 部门概况</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一、部门主要职能</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二、部门预算单位构成</w:t>
      </w:r>
    </w:p>
    <w:p>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第二部分2023年部门预算表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一、2023年部门收支总体情况表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二、2023年部门收支总体情况表（分单位）</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三、2023年部门收入总体情况表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四、2023年部门支出总体情况表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五、2023年部门支出总体情况表（按功能科目）</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六、2023年部门财政拨款收支总体情况表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七、2023年部门财政拨款支出总体情况表（按功能科目）</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八、2023年部门一般公共预算支出情况表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九、2023年部门一般公共预算基本支出情况表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十、2023年一般公共预算基本支出按经济分类情况表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十一、2023年纳入预算管理的行政事业性收费预算支出情况表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十二、2023年部门（政府性基金收入）政府性基金预算支出情况表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十三、2023年部门（国有资本经营收入）国有资本经营预算支出情况表</w:t>
      </w:r>
    </w:p>
    <w:p>
      <w:pPr>
        <w:widowControl/>
        <w:shd w:val="clear" w:color="auto" w:fill="FFFFFF"/>
        <w:spacing w:line="315" w:lineRule="atLeast"/>
        <w:ind w:firstLine="420"/>
        <w:jc w:val="left"/>
        <w:rPr>
          <w:rFonts w:hint="eastAsia" w:ascii="宋体" w:hAnsi="宋体"/>
          <w:color w:val="000000"/>
          <w:kern w:val="0"/>
          <w:sz w:val="30"/>
          <w:szCs w:val="30"/>
        </w:rPr>
      </w:pPr>
      <w:r>
        <w:rPr>
          <w:rFonts w:hint="eastAsia" w:ascii="宋体" w:hAnsi="宋体"/>
          <w:color w:val="000000"/>
          <w:kern w:val="0"/>
          <w:sz w:val="30"/>
          <w:szCs w:val="30"/>
        </w:rPr>
        <w:t>十四、2023年部门单位资金预算支出表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十五、2023年部门项目支出预算表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十六、2023年部门政府采购支出预算表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十七、2023年部门政府购买服务支出预算表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十八、2023年部门一般公共预算“三公”经费支出情况表</w:t>
      </w:r>
    </w:p>
    <w:p>
      <w:pPr>
        <w:widowControl/>
        <w:shd w:val="clear" w:color="auto" w:fill="FFFFFF"/>
        <w:spacing w:line="315" w:lineRule="atLeast"/>
        <w:ind w:firstLine="420"/>
        <w:jc w:val="left"/>
        <w:rPr>
          <w:color w:val="000000"/>
          <w:kern w:val="0"/>
          <w:szCs w:val="21"/>
        </w:rPr>
      </w:pPr>
      <w:r>
        <w:rPr>
          <w:rFonts w:hint="eastAsia" w:ascii="宋体" w:hAnsi="宋体"/>
          <w:color w:val="000000"/>
          <w:kern w:val="0"/>
          <w:sz w:val="30"/>
          <w:szCs w:val="30"/>
        </w:rPr>
        <w:t>十九、2023年部门一般公共预算机关运行经费明细表</w:t>
      </w:r>
    </w:p>
    <w:p>
      <w:pPr>
        <w:widowControl/>
        <w:shd w:val="clear" w:color="auto" w:fill="FFFFFF"/>
        <w:spacing w:line="315" w:lineRule="atLeast"/>
        <w:ind w:firstLine="420"/>
        <w:jc w:val="left"/>
        <w:rPr>
          <w:rFonts w:hint="eastAsia" w:ascii="宋体" w:hAnsi="宋体"/>
          <w:color w:val="000000"/>
          <w:kern w:val="0"/>
          <w:sz w:val="30"/>
          <w:szCs w:val="30"/>
        </w:rPr>
      </w:pPr>
      <w:r>
        <w:rPr>
          <w:rFonts w:hint="eastAsia" w:ascii="宋体" w:hAnsi="宋体"/>
          <w:color w:val="000000"/>
          <w:kern w:val="0"/>
          <w:sz w:val="30"/>
          <w:szCs w:val="30"/>
        </w:rPr>
        <w:t>二十、2023年部门项目支出预算绩效目标情况表</w:t>
      </w:r>
    </w:p>
    <w:p>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第三部分  2023年部门预算情况说明</w:t>
      </w:r>
    </w:p>
    <w:p>
      <w:pPr>
        <w:widowControl/>
        <w:shd w:val="clear" w:color="auto" w:fill="FFFFFF"/>
        <w:spacing w:line="315" w:lineRule="atLeast"/>
        <w:ind w:firstLine="422"/>
        <w:jc w:val="left"/>
        <w:rPr>
          <w:color w:val="000000"/>
          <w:kern w:val="0"/>
          <w:szCs w:val="21"/>
        </w:rPr>
      </w:pPr>
      <w:r>
        <w:rPr>
          <w:rFonts w:hint="eastAsia" w:ascii="宋体" w:hAnsi="宋体"/>
          <w:b/>
          <w:bCs/>
          <w:color w:val="000000"/>
          <w:kern w:val="0"/>
          <w:sz w:val="30"/>
          <w:szCs w:val="30"/>
        </w:rPr>
        <w:t>第四部分  名词解释</w:t>
      </w:r>
    </w:p>
    <w:p>
      <w:pPr>
        <w:widowControl/>
        <w:shd w:val="clear" w:color="auto" w:fill="FFFFFF"/>
        <w:spacing w:line="315" w:lineRule="atLeast"/>
        <w:jc w:val="center"/>
        <w:rPr>
          <w:color w:val="000000"/>
          <w:kern w:val="0"/>
          <w:szCs w:val="21"/>
        </w:rPr>
      </w:pPr>
      <w:r>
        <w:rPr>
          <w:rFonts w:hint="eastAsia" w:ascii="宋体" w:hAnsi="宋体"/>
          <w:b/>
          <w:bCs/>
          <w:color w:val="000000"/>
          <w:kern w:val="0"/>
          <w:sz w:val="30"/>
          <w:szCs w:val="30"/>
        </w:rPr>
        <w:t>第一部分 部门概况</w:t>
      </w:r>
    </w:p>
    <w:p>
      <w:pPr>
        <w:widowControl/>
        <w:shd w:val="clear" w:color="auto" w:fill="FFFFFF"/>
        <w:spacing w:line="315" w:lineRule="atLeast"/>
        <w:jc w:val="left"/>
        <w:rPr>
          <w:color w:val="000000"/>
          <w:kern w:val="0"/>
          <w:szCs w:val="21"/>
        </w:rPr>
      </w:pPr>
      <w:r>
        <w:rPr>
          <w:rFonts w:hint="eastAsia" w:ascii="宋体" w:hAnsi="宋体"/>
          <w:b/>
          <w:bCs/>
          <w:color w:val="000000"/>
          <w:kern w:val="0"/>
          <w:sz w:val="30"/>
          <w:szCs w:val="30"/>
        </w:rPr>
        <w:t>  一、部门主要职责</w:t>
      </w:r>
    </w:p>
    <w:p>
      <w:pPr>
        <w:widowControl/>
        <w:spacing w:line="360" w:lineRule="auto"/>
        <w:ind w:left="600"/>
        <w:jc w:val="left"/>
        <w:rPr>
          <w:rFonts w:hint="eastAsia" w:ascii="宋体" w:hAnsi="宋体" w:cs="宋体"/>
          <w:bCs/>
          <w:kern w:val="0"/>
          <w:sz w:val="30"/>
          <w:szCs w:val="30"/>
        </w:rPr>
      </w:pPr>
      <w:r>
        <w:rPr>
          <w:rFonts w:hint="eastAsia" w:ascii="宋体" w:hAnsi="宋体" w:cs="宋体"/>
          <w:bCs/>
          <w:kern w:val="0"/>
          <w:sz w:val="30"/>
          <w:szCs w:val="30"/>
        </w:rPr>
        <w:t>一、主要职责</w:t>
      </w:r>
    </w:p>
    <w:p>
      <w:pPr>
        <w:ind w:firstLine="640" w:firstLineChars="200"/>
        <w:rPr>
          <w:rFonts w:hint="eastAsia" w:ascii="宋体" w:hAnsi="宋体" w:cs="宋体"/>
          <w:color w:val="111111"/>
          <w:sz w:val="32"/>
          <w:szCs w:val="32"/>
        </w:rPr>
      </w:pPr>
      <w:r>
        <w:rPr>
          <w:rFonts w:hint="eastAsia" w:ascii="宋体" w:hAnsi="宋体" w:cs="宋体"/>
          <w:color w:val="111111"/>
          <w:sz w:val="32"/>
          <w:szCs w:val="32"/>
        </w:rPr>
        <w:t>全面掌握全市妇女儿童的健康状况，主要的健康问题、常见疾病和妇女儿童群体的多发性疾病、孕产妇死亡、围产儿死亡、婴儿及5岁以下儿童死亡情况及主要致死原因，计划生育技术服务需求和服务质量，出生人口质量及影响妇女儿童群体健康的主要生物、心理、社会、环境因素，协助卫生行政部门制定全省的妇幼保健规划和支持性规划。</w:t>
      </w:r>
    </w:p>
    <w:p>
      <w:pPr>
        <w:ind w:firstLine="640" w:firstLineChars="200"/>
        <w:rPr>
          <w:rFonts w:hint="eastAsia" w:ascii="宋体" w:hAnsi="宋体" w:cs="宋体"/>
          <w:color w:val="111111"/>
          <w:sz w:val="32"/>
          <w:szCs w:val="32"/>
        </w:rPr>
      </w:pPr>
      <w:r>
        <w:rPr>
          <w:rFonts w:hint="eastAsia" w:ascii="宋体" w:hAnsi="宋体" w:cs="宋体"/>
          <w:color w:val="111111"/>
          <w:sz w:val="32"/>
          <w:szCs w:val="32"/>
        </w:rPr>
        <w:t>负责全市妇女保健、儿童保健、计划生育技术服务，优生优育、信息统计、健康教育、培训、科研新技术推广应用等具体业务工作的技术指导并负责对市地级妇幼卫生和计划生育技术服务质量进行监测和审评，定时向卫生行政部门提出报告。</w:t>
      </w:r>
    </w:p>
    <w:p>
      <w:pPr>
        <w:ind w:firstLine="640" w:firstLineChars="200"/>
        <w:rPr>
          <w:rFonts w:hint="eastAsia" w:ascii="宋体" w:hAnsi="宋体" w:cs="宋体"/>
          <w:color w:val="111111"/>
          <w:sz w:val="32"/>
          <w:szCs w:val="32"/>
        </w:rPr>
      </w:pPr>
      <w:r>
        <w:rPr>
          <w:rFonts w:hint="eastAsia" w:ascii="宋体" w:hAnsi="宋体" w:cs="宋体"/>
          <w:color w:val="111111"/>
          <w:sz w:val="32"/>
          <w:szCs w:val="32"/>
        </w:rPr>
        <w:t>掌握全市妇幼卫生专业队伍数量、知识和技术水平，根据妇幼卫生工作的实际需要，协助卫生行政部门制定在职人员及基层妇幼卫生人员的培训规划并具体组织实施，要有计划地培训妇幼保健短缺专科人才，以满足保健工作的需要能承担本科室研究生及妇幼卫生中高级人才的进修培养任务。能承担国家、省级科研课题和进行国际合作;针对本省妇女儿童身心健康的主要问题、重点疾病，开展应用性研究工作并负责科研成果的推广应用。</w:t>
      </w:r>
    </w:p>
    <w:p>
      <w:pPr>
        <w:ind w:firstLine="640" w:firstLineChars="200"/>
        <w:rPr>
          <w:rFonts w:hint="eastAsia" w:ascii="宋体" w:hAnsi="宋体" w:cs="宋体"/>
          <w:b/>
          <w:sz w:val="32"/>
          <w:szCs w:val="32"/>
        </w:rPr>
      </w:pPr>
      <w:r>
        <w:rPr>
          <w:rFonts w:hint="eastAsia" w:ascii="宋体" w:hAnsi="宋体" w:cs="宋体"/>
          <w:color w:val="111111"/>
          <w:sz w:val="32"/>
          <w:szCs w:val="32"/>
        </w:rPr>
        <w:t>接受下级妇幼保健院的会诊、转诊，坚持双向转诊制度。为市地县妇幼保健院提供有关产前诊断、遗传咨询、围产期检测技术等方面的技术支持。负责服务、整理、分析、储存全省妇女儿童健康指标、计划生育技术服务及人口出生质量、各项妇幼卫生工作指标及妇幼卫生资源转入等数据资料，按规定时间上报省卫生行政部门，同时反馈给市地卫生行政部门和妇幼保健院。</w:t>
      </w:r>
    </w:p>
    <w:p>
      <w:pPr>
        <w:widowControl/>
        <w:shd w:val="clear" w:color="auto" w:fill="FFFFFF"/>
        <w:spacing w:line="315" w:lineRule="atLeast"/>
        <w:rPr>
          <w:color w:val="000000"/>
          <w:kern w:val="0"/>
          <w:szCs w:val="21"/>
        </w:rPr>
      </w:pPr>
      <w:r>
        <w:rPr>
          <w:rFonts w:hint="eastAsia" w:ascii="宋体" w:hAnsi="宋体"/>
          <w:color w:val="000000"/>
          <w:kern w:val="0"/>
          <w:sz w:val="30"/>
          <w:szCs w:val="30"/>
        </w:rPr>
        <w:t> </w:t>
      </w:r>
      <w:r>
        <w:rPr>
          <w:rFonts w:hint="eastAsia" w:ascii="宋体" w:hAnsi="宋体"/>
          <w:b/>
          <w:bCs/>
          <w:color w:val="000000"/>
          <w:kern w:val="0"/>
          <w:sz w:val="30"/>
          <w:szCs w:val="30"/>
        </w:rPr>
        <w:t> 二、部门预算单位构成</w:t>
      </w:r>
    </w:p>
    <w:p>
      <w:pPr>
        <w:widowControl/>
        <w:spacing w:line="360" w:lineRule="auto"/>
        <w:ind w:firstLine="600" w:firstLineChars="200"/>
        <w:jc w:val="left"/>
        <w:rPr>
          <w:rFonts w:ascii="仿宋" w:hAnsi="仿宋" w:eastAsia="仿宋" w:cs="仿宋"/>
          <w:kern w:val="0"/>
          <w:sz w:val="30"/>
          <w:szCs w:val="30"/>
        </w:rPr>
      </w:pPr>
      <w:r>
        <w:rPr>
          <w:rFonts w:hint="eastAsia" w:ascii="宋体" w:hAnsi="宋体"/>
          <w:color w:val="000000"/>
          <w:kern w:val="0"/>
          <w:sz w:val="30"/>
          <w:szCs w:val="30"/>
        </w:rPr>
        <w:t>本次纳入2023年部门预算编制范围预算单位包括：</w:t>
      </w:r>
      <w:r>
        <w:rPr>
          <w:rFonts w:hint="eastAsia" w:ascii="仿宋" w:hAnsi="仿宋" w:eastAsia="仿宋" w:cs="仿宋"/>
          <w:kern w:val="0"/>
          <w:sz w:val="30"/>
          <w:szCs w:val="30"/>
        </w:rPr>
        <w:t>抚顺市妇幼保健院。</w:t>
      </w:r>
    </w:p>
    <w:p>
      <w:pPr>
        <w:widowControl/>
        <w:shd w:val="clear" w:color="auto" w:fill="FFFFFF"/>
        <w:spacing w:line="315" w:lineRule="atLeast"/>
        <w:ind w:left="280" w:hanging="280" w:hangingChars="200"/>
        <w:rPr>
          <w:rFonts w:hint="eastAsia"/>
          <w:color w:val="000000"/>
          <w:kern w:val="0"/>
          <w:szCs w:val="21"/>
        </w:rPr>
      </w:pPr>
      <w:r>
        <w:rPr>
          <w:color w:val="000000"/>
          <w:kern w:val="0"/>
          <w:sz w:val="14"/>
          <w:szCs w:val="14"/>
        </w:rPr>
        <w:t> </w:t>
      </w:r>
      <w:r>
        <w:rPr>
          <w:rFonts w:hint="eastAsia"/>
          <w:color w:val="000000"/>
          <w:kern w:val="0"/>
          <w:sz w:val="14"/>
          <w:szCs w:val="14"/>
        </w:rPr>
        <w:t xml:space="preserve"> </w:t>
      </w:r>
    </w:p>
    <w:p>
      <w:pPr>
        <w:widowControl/>
        <w:shd w:val="clear" w:color="auto" w:fill="FFFFFF"/>
        <w:ind w:left="105" w:leftChars="50" w:firstLine="420" w:firstLineChars="200"/>
        <w:rPr>
          <w:color w:val="000000"/>
          <w:kern w:val="0"/>
          <w:szCs w:val="21"/>
        </w:rPr>
      </w:pPr>
    </w:p>
    <w:p>
      <w:pPr>
        <w:widowControl/>
        <w:shd w:val="clear" w:color="auto" w:fill="FFFFFF"/>
        <w:spacing w:line="315" w:lineRule="atLeast"/>
        <w:jc w:val="center"/>
        <w:rPr>
          <w:color w:val="000000"/>
          <w:kern w:val="0"/>
          <w:szCs w:val="21"/>
        </w:rPr>
      </w:pPr>
      <w:r>
        <w:rPr>
          <w:rFonts w:hint="eastAsia" w:ascii="宋体" w:hAnsi="宋体"/>
          <w:b/>
          <w:bCs/>
          <w:color w:val="000000"/>
          <w:kern w:val="0"/>
          <w:sz w:val="30"/>
          <w:szCs w:val="30"/>
        </w:rPr>
        <w:t xml:space="preserve">第二部分 </w:t>
      </w:r>
      <w:r>
        <w:rPr>
          <w:rFonts w:hint="eastAsia" w:ascii="宋体" w:hAnsi="宋体"/>
          <w:b/>
          <w:bCs/>
          <w:color w:val="000000"/>
          <w:kern w:val="0"/>
          <w:sz w:val="30"/>
          <w:szCs w:val="30"/>
          <w:lang w:val="en-US" w:eastAsia="zh-CN"/>
        </w:rPr>
        <w:t>2023年</w:t>
      </w:r>
      <w:bookmarkStart w:id="0" w:name="_GoBack"/>
      <w:bookmarkEnd w:id="0"/>
      <w:r>
        <w:rPr>
          <w:rFonts w:hint="eastAsia" w:ascii="宋体" w:hAnsi="宋体"/>
          <w:b/>
          <w:bCs/>
          <w:color w:val="000000"/>
          <w:kern w:val="0"/>
          <w:sz w:val="30"/>
          <w:szCs w:val="30"/>
        </w:rPr>
        <w:t>部门预算公开表</w:t>
      </w:r>
    </w:p>
    <w:p>
      <w:pPr>
        <w:widowControl/>
        <w:shd w:val="clear" w:color="auto" w:fill="FFFFFF"/>
        <w:spacing w:line="315" w:lineRule="atLeast"/>
        <w:ind w:firstLine="422"/>
        <w:jc w:val="center"/>
        <w:rPr>
          <w:rFonts w:hint="eastAsia" w:ascii="宋体" w:hAnsi="宋体" w:eastAsia="宋体"/>
          <w:color w:val="000000"/>
          <w:kern w:val="0"/>
          <w:sz w:val="30"/>
          <w:szCs w:val="30"/>
          <w:lang w:eastAsia="zh-CN"/>
        </w:rPr>
      </w:pPr>
      <w:r>
        <w:rPr>
          <w:rFonts w:hint="eastAsia" w:ascii="宋体" w:hAnsi="宋体" w:eastAsia="宋体"/>
          <w:color w:val="000000"/>
          <w:kern w:val="0"/>
          <w:sz w:val="30"/>
          <w:szCs w:val="30"/>
          <w:lang w:eastAsia="zh-CN"/>
        </w:rPr>
        <w:object>
          <v:shape id="_x0000_i1026" o:spt="75" type="#_x0000_t75" style="height:37.6pt;width:278pt;" o:ole="t" filled="f" o:preferrelative="t" stroked="f" coordsize="21600,21600">
            <v:fill on="f" focussize="0,0"/>
            <v:stroke on="f"/>
            <v:imagedata r:id="rId5" o:title=""/>
            <o:lock v:ext="edit" aspectratio="t"/>
            <w10:wrap type="none"/>
            <w10:anchorlock/>
          </v:shape>
          <o:OLEObject Type="Embed" ProgID="Package" ShapeID="_x0000_i1026" DrawAspect="Content" ObjectID="_1468075725" r:id="rId4">
            <o:LockedField>false</o:LockedField>
          </o:OLEObject>
        </w:object>
      </w:r>
    </w:p>
    <w:p>
      <w:pPr>
        <w:widowControl/>
        <w:shd w:val="clear" w:color="auto" w:fill="FFFFFF"/>
        <w:spacing w:line="315" w:lineRule="atLeast"/>
        <w:ind w:firstLine="301"/>
        <w:jc w:val="center"/>
        <w:rPr>
          <w:color w:val="000000"/>
          <w:kern w:val="0"/>
          <w:szCs w:val="21"/>
        </w:rPr>
      </w:pPr>
      <w:r>
        <w:rPr>
          <w:rFonts w:hint="eastAsia" w:ascii="宋体" w:hAnsi="宋体"/>
          <w:b/>
          <w:bCs/>
          <w:color w:val="000000"/>
          <w:kern w:val="0"/>
          <w:sz w:val="30"/>
          <w:szCs w:val="30"/>
        </w:rPr>
        <w:t>第三部分 2023年部门预算情况说明</w:t>
      </w:r>
    </w:p>
    <w:p>
      <w:pPr>
        <w:widowControl/>
        <w:shd w:val="clear" w:color="auto" w:fill="FFFFFF"/>
        <w:spacing w:line="315" w:lineRule="atLeast"/>
        <w:rPr>
          <w:color w:val="000000"/>
          <w:kern w:val="0"/>
          <w:szCs w:val="21"/>
        </w:rPr>
      </w:pPr>
      <w:r>
        <w:rPr>
          <w:rFonts w:hint="eastAsia" w:ascii="宋体" w:hAnsi="宋体"/>
          <w:b/>
          <w:bCs/>
          <w:color w:val="000000"/>
          <w:kern w:val="0"/>
          <w:sz w:val="30"/>
          <w:szCs w:val="30"/>
        </w:rPr>
        <w:t>  一、关于2023年收支预算情况的总体说明</w:t>
      </w:r>
    </w:p>
    <w:p>
      <w:pPr>
        <w:widowControl/>
        <w:shd w:val="clear" w:color="auto" w:fill="FFFFFF"/>
        <w:spacing w:line="315" w:lineRule="atLeast"/>
        <w:ind w:firstLine="585"/>
        <w:rPr>
          <w:color w:val="000000"/>
          <w:kern w:val="0"/>
          <w:szCs w:val="21"/>
        </w:rPr>
      </w:pPr>
      <w:r>
        <w:rPr>
          <w:rFonts w:hint="eastAsia" w:ascii="宋体" w:hAnsi="宋体"/>
          <w:color w:val="000000"/>
          <w:kern w:val="0"/>
          <w:sz w:val="30"/>
          <w:szCs w:val="30"/>
        </w:rPr>
        <w:t>按照综合预算的原则，本部门及所属单位所有收入和支出均纳入部门预算管理。收入包括：财政拨款收入(含上级提前告知转移支付资金)、纳入预算管理的行政事业性收费收入、纳入预算管理的专项收入、纳入政府性基金预算管理收入(含上级提前告知转移支付资金)、纳入专户管理的行政事业性收费收入、政府住房收入、国有资源（资产）有偿使用收入、其他收入；支出包括：一般公共服务、公共安全支出、社会保障和就业支出、农林水事务支出、住房保障支出等。</w:t>
      </w:r>
    </w:p>
    <w:p>
      <w:pPr>
        <w:widowControl/>
        <w:shd w:val="clear" w:color="auto" w:fill="FFFFFF"/>
        <w:spacing w:line="315" w:lineRule="atLeast"/>
        <w:ind w:firstLine="585"/>
        <w:rPr>
          <w:color w:val="000000"/>
          <w:kern w:val="0"/>
          <w:szCs w:val="21"/>
        </w:rPr>
      </w:pPr>
      <w:r>
        <w:rPr>
          <w:rFonts w:hint="eastAsia" w:ascii="宋体" w:hAnsi="宋体"/>
          <w:color w:val="000000"/>
          <w:kern w:val="0"/>
          <w:sz w:val="30"/>
          <w:szCs w:val="30"/>
        </w:rPr>
        <w:t>本部门及所属单位2023年收支总预算</w:t>
      </w:r>
      <w:r>
        <w:rPr>
          <w:rFonts w:hint="eastAsia" w:ascii="宋体" w:hAnsi="宋体"/>
          <w:color w:val="000000"/>
          <w:kern w:val="0"/>
          <w:sz w:val="30"/>
          <w:szCs w:val="30"/>
          <w:lang w:val="en-US" w:eastAsia="zh-CN"/>
        </w:rPr>
        <w:t>675.03</w:t>
      </w:r>
      <w:r>
        <w:rPr>
          <w:rFonts w:hint="eastAsia" w:ascii="宋体" w:hAnsi="宋体"/>
          <w:color w:val="000000"/>
          <w:kern w:val="0"/>
          <w:sz w:val="30"/>
          <w:szCs w:val="30"/>
        </w:rPr>
        <w:t>万元。</w:t>
      </w:r>
    </w:p>
    <w:p>
      <w:pPr>
        <w:widowControl/>
        <w:shd w:val="clear" w:color="auto" w:fill="FFFFFF"/>
        <w:spacing w:line="360" w:lineRule="atLeast"/>
        <w:ind w:firstLine="600"/>
        <w:rPr>
          <w:rFonts w:hint="eastAsia" w:ascii="宋体" w:hAnsi="宋体" w:cs="宋体"/>
          <w:color w:val="000000"/>
          <w:kern w:val="0"/>
          <w:sz w:val="30"/>
          <w:szCs w:val="30"/>
        </w:rPr>
      </w:pPr>
      <w:r>
        <w:rPr>
          <w:rFonts w:hint="eastAsia" w:ascii="宋体" w:hAnsi="宋体" w:cs="宋体"/>
          <w:color w:val="000000"/>
          <w:kern w:val="0"/>
          <w:sz w:val="30"/>
          <w:szCs w:val="30"/>
        </w:rPr>
        <w:t>收入预算增减情况：</w:t>
      </w:r>
    </w:p>
    <w:p>
      <w:pPr>
        <w:widowControl/>
        <w:shd w:val="clear" w:color="auto" w:fill="FFFFFF"/>
        <w:spacing w:line="360" w:lineRule="atLeast"/>
        <w:ind w:firstLine="600"/>
        <w:rPr>
          <w:rFonts w:hint="eastAsia" w:ascii="宋体" w:hAnsi="宋体" w:cs="宋体"/>
          <w:color w:val="000000"/>
          <w:kern w:val="0"/>
          <w:sz w:val="30"/>
          <w:szCs w:val="30"/>
        </w:rPr>
      </w:pPr>
      <w:r>
        <w:rPr>
          <w:rFonts w:hint="eastAsia" w:ascii="宋体" w:hAnsi="宋体" w:cs="宋体"/>
          <w:color w:val="000000"/>
          <w:kern w:val="0"/>
          <w:sz w:val="30"/>
          <w:szCs w:val="30"/>
        </w:rPr>
        <w:t>2023年，本部门及所属单位部门收入预算</w:t>
      </w:r>
      <w:r>
        <w:rPr>
          <w:rFonts w:hint="eastAsia" w:ascii="宋体" w:hAnsi="宋体" w:cs="宋体"/>
          <w:color w:val="000000"/>
          <w:kern w:val="0"/>
          <w:sz w:val="30"/>
          <w:szCs w:val="30"/>
          <w:lang w:val="en-US" w:eastAsia="zh-CN"/>
        </w:rPr>
        <w:t>675.03</w:t>
      </w:r>
      <w:r>
        <w:rPr>
          <w:rFonts w:hint="eastAsia" w:ascii="宋体" w:hAnsi="宋体" w:cs="宋体"/>
          <w:color w:val="000000"/>
          <w:kern w:val="0"/>
          <w:sz w:val="30"/>
          <w:szCs w:val="30"/>
        </w:rPr>
        <w:t>万元，比上年增加</w:t>
      </w:r>
      <w:r>
        <w:rPr>
          <w:rFonts w:hint="eastAsia" w:ascii="宋体" w:hAnsi="宋体" w:cs="宋体"/>
          <w:color w:val="000000"/>
          <w:kern w:val="0"/>
          <w:sz w:val="30"/>
          <w:szCs w:val="30"/>
          <w:lang w:val="en-US" w:eastAsia="zh-CN"/>
        </w:rPr>
        <w:t>146.62</w:t>
      </w:r>
      <w:r>
        <w:rPr>
          <w:rFonts w:hint="eastAsia" w:ascii="宋体" w:hAnsi="宋体" w:cs="宋体"/>
          <w:color w:val="000000"/>
          <w:kern w:val="0"/>
          <w:sz w:val="30"/>
          <w:szCs w:val="30"/>
        </w:rPr>
        <w:t>万元，增长</w:t>
      </w:r>
      <w:r>
        <w:rPr>
          <w:rFonts w:hint="eastAsia" w:ascii="宋体" w:hAnsi="宋体" w:cs="宋体"/>
          <w:color w:val="000000"/>
          <w:kern w:val="0"/>
          <w:sz w:val="30"/>
          <w:szCs w:val="30"/>
          <w:lang w:val="en-US" w:eastAsia="zh-CN"/>
        </w:rPr>
        <w:t>27.75</w:t>
      </w:r>
      <w:r>
        <w:rPr>
          <w:rFonts w:hint="eastAsia" w:ascii="宋体" w:hAnsi="宋体" w:cs="宋体"/>
          <w:color w:val="000000"/>
          <w:kern w:val="0"/>
          <w:sz w:val="30"/>
          <w:szCs w:val="30"/>
        </w:rPr>
        <w:t>%，增加主要原因：人员工资增加</w:t>
      </w:r>
      <w:r>
        <w:rPr>
          <w:rFonts w:hint="eastAsia" w:ascii="宋体" w:hAnsi="宋体" w:cs="宋体"/>
          <w:color w:val="000000"/>
          <w:kern w:val="0"/>
          <w:sz w:val="30"/>
          <w:szCs w:val="30"/>
          <w:lang w:eastAsia="zh-CN"/>
        </w:rPr>
        <w:t>和新增残疾儿童康复政府性基金预算</w:t>
      </w:r>
      <w:r>
        <w:rPr>
          <w:rFonts w:hint="eastAsia" w:ascii="宋体" w:hAnsi="宋体" w:cs="宋体"/>
          <w:color w:val="000000"/>
          <w:kern w:val="0"/>
          <w:sz w:val="30"/>
          <w:szCs w:val="30"/>
          <w:lang w:val="en-US" w:eastAsia="zh-CN"/>
        </w:rPr>
        <w:t>80.4万元</w:t>
      </w:r>
      <w:r>
        <w:rPr>
          <w:rFonts w:hint="eastAsia" w:ascii="宋体" w:hAnsi="宋体" w:cs="宋体"/>
          <w:color w:val="000000"/>
          <w:kern w:val="0"/>
          <w:sz w:val="30"/>
          <w:szCs w:val="30"/>
        </w:rPr>
        <w:t>。</w:t>
      </w:r>
    </w:p>
    <w:p>
      <w:pPr>
        <w:widowControl/>
        <w:shd w:val="clear" w:color="auto" w:fill="FFFFFF"/>
        <w:spacing w:line="315" w:lineRule="atLeast"/>
        <w:ind w:firstLine="600"/>
        <w:rPr>
          <w:rFonts w:hint="eastAsia" w:ascii="宋体" w:hAnsi="宋体"/>
          <w:color w:val="000000"/>
          <w:kern w:val="0"/>
          <w:sz w:val="30"/>
          <w:szCs w:val="30"/>
        </w:rPr>
      </w:pPr>
      <w:r>
        <w:rPr>
          <w:rFonts w:hint="eastAsia" w:ascii="宋体" w:hAnsi="宋体"/>
          <w:color w:val="000000"/>
          <w:kern w:val="0"/>
          <w:sz w:val="30"/>
          <w:szCs w:val="30"/>
        </w:rPr>
        <w:t>支出预算增减情况：</w:t>
      </w:r>
    </w:p>
    <w:p>
      <w:pPr>
        <w:widowControl/>
        <w:shd w:val="clear" w:color="auto" w:fill="FFFFFF"/>
        <w:spacing w:line="360" w:lineRule="atLeast"/>
        <w:ind w:firstLine="600"/>
        <w:rPr>
          <w:rFonts w:hint="eastAsia" w:ascii="宋体" w:hAnsi="宋体" w:cs="宋体"/>
          <w:color w:val="000000"/>
          <w:kern w:val="0"/>
          <w:sz w:val="30"/>
          <w:szCs w:val="30"/>
        </w:rPr>
      </w:pPr>
      <w:r>
        <w:rPr>
          <w:rFonts w:hint="eastAsia" w:ascii="宋体" w:hAnsi="宋体"/>
          <w:color w:val="000000"/>
          <w:kern w:val="0"/>
          <w:sz w:val="30"/>
          <w:szCs w:val="30"/>
        </w:rPr>
        <w:t>2023年，本部门及所属单位部门总体情况支出</w:t>
      </w:r>
      <w:r>
        <w:rPr>
          <w:rFonts w:hint="eastAsia" w:ascii="宋体" w:hAnsi="宋体"/>
          <w:color w:val="000000"/>
          <w:kern w:val="0"/>
          <w:sz w:val="30"/>
          <w:szCs w:val="30"/>
          <w:lang w:val="en-US" w:eastAsia="zh-CN"/>
        </w:rPr>
        <w:t>675.03</w:t>
      </w:r>
      <w:r>
        <w:rPr>
          <w:rFonts w:hint="eastAsia" w:ascii="宋体" w:hAnsi="宋体"/>
          <w:color w:val="000000"/>
          <w:kern w:val="0"/>
          <w:sz w:val="30"/>
          <w:szCs w:val="30"/>
        </w:rPr>
        <w:t>万元，</w:t>
      </w:r>
      <w:r>
        <w:rPr>
          <w:rFonts w:hint="eastAsia" w:ascii="宋体" w:hAnsi="宋体" w:cs="宋体"/>
          <w:color w:val="000000"/>
          <w:kern w:val="0"/>
          <w:sz w:val="30"/>
          <w:szCs w:val="30"/>
        </w:rPr>
        <w:t>比上年增加</w:t>
      </w:r>
      <w:r>
        <w:rPr>
          <w:rFonts w:hint="eastAsia" w:ascii="宋体" w:hAnsi="宋体" w:cs="宋体"/>
          <w:color w:val="000000"/>
          <w:kern w:val="0"/>
          <w:sz w:val="30"/>
          <w:szCs w:val="30"/>
          <w:lang w:val="en-US" w:eastAsia="zh-CN"/>
        </w:rPr>
        <w:t>146.62</w:t>
      </w:r>
      <w:r>
        <w:rPr>
          <w:rFonts w:hint="eastAsia" w:ascii="宋体" w:hAnsi="宋体" w:cs="宋体"/>
          <w:color w:val="000000"/>
          <w:kern w:val="0"/>
          <w:sz w:val="30"/>
          <w:szCs w:val="30"/>
        </w:rPr>
        <w:t>万元，增长</w:t>
      </w:r>
      <w:r>
        <w:rPr>
          <w:rFonts w:hint="eastAsia" w:ascii="宋体" w:hAnsi="宋体" w:cs="宋体"/>
          <w:color w:val="000000"/>
          <w:kern w:val="0"/>
          <w:sz w:val="30"/>
          <w:szCs w:val="30"/>
          <w:lang w:val="en-US" w:eastAsia="zh-CN"/>
        </w:rPr>
        <w:t>27.75</w:t>
      </w:r>
      <w:r>
        <w:rPr>
          <w:rFonts w:hint="eastAsia" w:ascii="宋体" w:hAnsi="宋体" w:cs="宋体"/>
          <w:color w:val="000000"/>
          <w:kern w:val="0"/>
          <w:sz w:val="30"/>
          <w:szCs w:val="30"/>
        </w:rPr>
        <w:t>%，增加主要原因：人员工资增加</w:t>
      </w:r>
      <w:r>
        <w:rPr>
          <w:rFonts w:hint="eastAsia" w:ascii="宋体" w:hAnsi="宋体" w:cs="宋体"/>
          <w:color w:val="000000"/>
          <w:kern w:val="0"/>
          <w:sz w:val="30"/>
          <w:szCs w:val="30"/>
          <w:lang w:eastAsia="zh-CN"/>
        </w:rPr>
        <w:t>和新增残疾儿童康复政府性基金预算</w:t>
      </w:r>
      <w:r>
        <w:rPr>
          <w:rFonts w:hint="eastAsia" w:ascii="宋体" w:hAnsi="宋体" w:cs="宋体"/>
          <w:color w:val="000000"/>
          <w:kern w:val="0"/>
          <w:sz w:val="30"/>
          <w:szCs w:val="30"/>
          <w:lang w:val="en-US" w:eastAsia="zh-CN"/>
        </w:rPr>
        <w:t>80.4万元</w:t>
      </w:r>
      <w:r>
        <w:rPr>
          <w:rFonts w:hint="eastAsia" w:ascii="宋体" w:hAnsi="宋体" w:cs="宋体"/>
          <w:color w:val="000000"/>
          <w:kern w:val="0"/>
          <w:sz w:val="30"/>
          <w:szCs w:val="30"/>
        </w:rPr>
        <w:t>。</w:t>
      </w:r>
    </w:p>
    <w:p>
      <w:pPr>
        <w:widowControl/>
        <w:shd w:val="clear" w:color="auto" w:fill="FFFFFF"/>
        <w:spacing w:line="315" w:lineRule="atLeast"/>
        <w:ind w:firstLine="600"/>
        <w:rPr>
          <w:color w:val="000000"/>
          <w:kern w:val="0"/>
          <w:szCs w:val="21"/>
        </w:rPr>
      </w:pPr>
      <w:r>
        <w:rPr>
          <w:rFonts w:hint="eastAsia" w:ascii="宋体" w:hAnsi="宋体"/>
          <w:b/>
          <w:bCs/>
          <w:color w:val="000000"/>
          <w:kern w:val="0"/>
          <w:sz w:val="30"/>
          <w:szCs w:val="30"/>
        </w:rPr>
        <w:t>二、关于2023年财政拨款收支预算情况说明</w:t>
      </w:r>
    </w:p>
    <w:p>
      <w:pPr>
        <w:widowControl/>
        <w:shd w:val="clear" w:color="auto" w:fill="FFFFFF"/>
        <w:spacing w:line="315" w:lineRule="atLeast"/>
        <w:ind w:firstLine="600"/>
        <w:rPr>
          <w:color w:val="000000"/>
          <w:kern w:val="0"/>
          <w:szCs w:val="21"/>
        </w:rPr>
      </w:pPr>
      <w:r>
        <w:rPr>
          <w:rFonts w:hint="eastAsia" w:ascii="宋体" w:hAnsi="宋体"/>
          <w:color w:val="000000"/>
          <w:kern w:val="0"/>
          <w:sz w:val="30"/>
          <w:szCs w:val="30"/>
        </w:rPr>
        <w:t>本部门及所属单位2023年财政拨款收支总预算</w:t>
      </w:r>
      <w:r>
        <w:rPr>
          <w:rFonts w:hint="eastAsia" w:ascii="宋体" w:hAnsi="宋体"/>
          <w:color w:val="000000"/>
          <w:kern w:val="0"/>
          <w:sz w:val="30"/>
          <w:szCs w:val="30"/>
          <w:lang w:val="en-US" w:eastAsia="zh-CN"/>
        </w:rPr>
        <w:t>675.03</w:t>
      </w:r>
      <w:r>
        <w:rPr>
          <w:rFonts w:hint="eastAsia" w:ascii="宋体" w:hAnsi="宋体"/>
          <w:color w:val="000000"/>
          <w:kern w:val="0"/>
          <w:sz w:val="30"/>
          <w:szCs w:val="30"/>
        </w:rPr>
        <w:t>万元，收入预算按来源分为财政补助收入</w:t>
      </w:r>
      <w:r>
        <w:rPr>
          <w:rFonts w:hint="eastAsia" w:ascii="宋体" w:hAnsi="宋体"/>
          <w:color w:val="000000"/>
          <w:kern w:val="0"/>
          <w:sz w:val="30"/>
          <w:szCs w:val="30"/>
          <w:lang w:eastAsia="zh-CN"/>
        </w:rPr>
        <w:t>和政府性基金预算收入</w:t>
      </w:r>
      <w:r>
        <w:rPr>
          <w:rFonts w:hint="eastAsia" w:ascii="宋体" w:hAnsi="宋体"/>
          <w:color w:val="000000"/>
          <w:kern w:val="0"/>
          <w:sz w:val="30"/>
          <w:szCs w:val="30"/>
        </w:rPr>
        <w:t>。具体包括：当年财政拨款收入</w:t>
      </w:r>
      <w:r>
        <w:rPr>
          <w:rFonts w:hint="eastAsia" w:ascii="宋体" w:hAnsi="宋体"/>
          <w:color w:val="000000"/>
          <w:kern w:val="0"/>
          <w:sz w:val="30"/>
          <w:szCs w:val="30"/>
          <w:lang w:val="en-US" w:eastAsia="zh-CN"/>
        </w:rPr>
        <w:t>594.63</w:t>
      </w:r>
      <w:r>
        <w:rPr>
          <w:rFonts w:hint="eastAsia" w:ascii="宋体" w:hAnsi="宋体"/>
          <w:color w:val="000000"/>
          <w:kern w:val="0"/>
          <w:sz w:val="30"/>
          <w:szCs w:val="30"/>
        </w:rPr>
        <w:t>万元</w:t>
      </w:r>
      <w:r>
        <w:rPr>
          <w:rFonts w:hint="eastAsia" w:ascii="宋体" w:hAnsi="宋体"/>
          <w:color w:val="000000"/>
          <w:kern w:val="0"/>
          <w:sz w:val="30"/>
          <w:szCs w:val="30"/>
          <w:lang w:eastAsia="zh-CN"/>
        </w:rPr>
        <w:t>和政府性基金预算收入</w:t>
      </w:r>
      <w:r>
        <w:rPr>
          <w:rFonts w:hint="eastAsia" w:ascii="宋体" w:hAnsi="宋体"/>
          <w:color w:val="000000"/>
          <w:kern w:val="0"/>
          <w:sz w:val="30"/>
          <w:szCs w:val="30"/>
          <w:lang w:val="en-US" w:eastAsia="zh-CN"/>
        </w:rPr>
        <w:t>80.4万元</w:t>
      </w:r>
      <w:r>
        <w:rPr>
          <w:rFonts w:hint="eastAsia" w:ascii="宋体" w:hAnsi="宋体"/>
          <w:color w:val="000000"/>
          <w:kern w:val="0"/>
          <w:sz w:val="30"/>
          <w:szCs w:val="30"/>
        </w:rPr>
        <w:t>。按</w:t>
      </w:r>
      <w:r>
        <w:rPr>
          <w:rFonts w:hint="eastAsia" w:ascii="宋体" w:hAnsi="宋体"/>
          <w:color w:val="000000"/>
          <w:kern w:val="0"/>
          <w:sz w:val="30"/>
          <w:szCs w:val="30"/>
          <w:lang w:eastAsia="zh-CN"/>
        </w:rPr>
        <w:t>经济</w:t>
      </w:r>
      <w:r>
        <w:rPr>
          <w:rFonts w:hint="eastAsia" w:ascii="宋体" w:hAnsi="宋体"/>
          <w:color w:val="000000"/>
          <w:kern w:val="0"/>
          <w:sz w:val="30"/>
          <w:szCs w:val="30"/>
        </w:rPr>
        <w:t>支出分类包括：</w:t>
      </w:r>
      <w:r>
        <w:rPr>
          <w:rFonts w:hint="eastAsia" w:ascii="宋体" w:hAnsi="宋体"/>
          <w:color w:val="000000"/>
          <w:kern w:val="0"/>
          <w:sz w:val="30"/>
          <w:szCs w:val="30"/>
          <w:lang w:eastAsia="zh-CN"/>
        </w:rPr>
        <w:t>人员经费</w:t>
      </w:r>
      <w:r>
        <w:rPr>
          <w:rFonts w:hint="eastAsia" w:ascii="宋体" w:hAnsi="宋体"/>
          <w:color w:val="000000"/>
          <w:kern w:val="0"/>
          <w:sz w:val="30"/>
          <w:szCs w:val="30"/>
          <w:lang w:val="en-US" w:eastAsia="zh-CN"/>
        </w:rPr>
        <w:t>538.2万元，公用经费56.43</w:t>
      </w:r>
      <w:r>
        <w:rPr>
          <w:rFonts w:hint="eastAsia" w:ascii="宋体" w:hAnsi="宋体"/>
          <w:color w:val="000000"/>
          <w:kern w:val="0"/>
          <w:sz w:val="30"/>
          <w:szCs w:val="30"/>
        </w:rPr>
        <w:t>万元；按</w:t>
      </w:r>
      <w:r>
        <w:rPr>
          <w:rFonts w:hint="eastAsia" w:ascii="宋体" w:hAnsi="宋体"/>
          <w:color w:val="000000"/>
          <w:kern w:val="0"/>
          <w:sz w:val="30"/>
          <w:szCs w:val="30"/>
          <w:lang w:eastAsia="zh-CN"/>
        </w:rPr>
        <w:t>功能</w:t>
      </w:r>
      <w:r>
        <w:rPr>
          <w:rFonts w:hint="eastAsia" w:ascii="宋体" w:hAnsi="宋体"/>
          <w:color w:val="000000"/>
          <w:kern w:val="0"/>
          <w:sz w:val="30"/>
          <w:szCs w:val="30"/>
        </w:rPr>
        <w:t>支出分类包括:工资福利支出</w:t>
      </w:r>
      <w:r>
        <w:rPr>
          <w:rFonts w:hint="eastAsia" w:ascii="宋体" w:hAnsi="宋体"/>
          <w:color w:val="000000"/>
          <w:kern w:val="0"/>
          <w:sz w:val="30"/>
          <w:szCs w:val="30"/>
          <w:lang w:val="en-US" w:eastAsia="zh-CN"/>
        </w:rPr>
        <w:t>529.65</w:t>
      </w:r>
      <w:r>
        <w:rPr>
          <w:rFonts w:hint="eastAsia" w:ascii="宋体" w:hAnsi="宋体"/>
          <w:color w:val="000000"/>
          <w:kern w:val="0"/>
          <w:sz w:val="30"/>
          <w:szCs w:val="30"/>
        </w:rPr>
        <w:t>万元，商品和服务支出</w:t>
      </w:r>
      <w:r>
        <w:rPr>
          <w:rFonts w:hint="eastAsia" w:ascii="宋体" w:hAnsi="宋体"/>
          <w:color w:val="000000"/>
          <w:kern w:val="0"/>
          <w:sz w:val="30"/>
          <w:szCs w:val="30"/>
          <w:lang w:val="en-US" w:eastAsia="zh-CN"/>
        </w:rPr>
        <w:t>56.43</w:t>
      </w:r>
      <w:r>
        <w:rPr>
          <w:rFonts w:hint="eastAsia" w:ascii="宋体" w:hAnsi="宋体"/>
          <w:color w:val="000000"/>
          <w:kern w:val="0"/>
          <w:sz w:val="30"/>
          <w:szCs w:val="30"/>
        </w:rPr>
        <w:t>万元，对个人和家庭的补助支出8</w:t>
      </w:r>
      <w:r>
        <w:rPr>
          <w:rFonts w:hint="eastAsia" w:ascii="宋体" w:hAnsi="宋体"/>
          <w:color w:val="000000"/>
          <w:kern w:val="0"/>
          <w:sz w:val="30"/>
          <w:szCs w:val="30"/>
          <w:lang w:val="en-US" w:eastAsia="zh-CN"/>
        </w:rPr>
        <w:t>.55</w:t>
      </w:r>
      <w:r>
        <w:rPr>
          <w:rFonts w:hint="eastAsia" w:ascii="宋体" w:hAnsi="宋体"/>
          <w:color w:val="000000"/>
          <w:kern w:val="0"/>
          <w:sz w:val="30"/>
          <w:szCs w:val="30"/>
        </w:rPr>
        <w:t>万</w:t>
      </w:r>
      <w:r>
        <w:rPr>
          <w:rFonts w:hint="eastAsia" w:ascii="宋体" w:hAnsi="宋体"/>
          <w:color w:val="000000"/>
          <w:kern w:val="0"/>
          <w:sz w:val="30"/>
          <w:szCs w:val="30"/>
          <w:lang w:eastAsia="zh-CN"/>
        </w:rPr>
        <w:t>元</w:t>
      </w:r>
      <w:r>
        <w:rPr>
          <w:rFonts w:hint="eastAsia" w:ascii="宋体" w:hAnsi="宋体"/>
          <w:color w:val="000000"/>
          <w:kern w:val="0"/>
          <w:sz w:val="30"/>
          <w:szCs w:val="30"/>
        </w:rPr>
        <w:t>。</w:t>
      </w:r>
    </w:p>
    <w:p>
      <w:pPr>
        <w:widowControl/>
        <w:shd w:val="clear" w:color="auto" w:fill="FFFFFF"/>
        <w:spacing w:line="315" w:lineRule="atLeast"/>
        <w:rPr>
          <w:color w:val="000000"/>
          <w:kern w:val="0"/>
          <w:szCs w:val="21"/>
        </w:rPr>
      </w:pPr>
      <w:r>
        <w:rPr>
          <w:rFonts w:hint="eastAsia" w:ascii="宋体" w:hAnsi="宋体"/>
          <w:color w:val="000000"/>
          <w:kern w:val="0"/>
          <w:sz w:val="30"/>
          <w:szCs w:val="30"/>
        </w:rPr>
        <w:t>  三、</w:t>
      </w:r>
      <w:r>
        <w:rPr>
          <w:rFonts w:hint="eastAsia" w:ascii="宋体" w:hAnsi="宋体"/>
          <w:b/>
          <w:bCs/>
          <w:color w:val="000000"/>
          <w:kern w:val="0"/>
          <w:sz w:val="30"/>
          <w:szCs w:val="30"/>
        </w:rPr>
        <w:t>关于2023年一般公共预算基本支出情况说明</w:t>
      </w:r>
    </w:p>
    <w:p>
      <w:pPr>
        <w:widowControl/>
        <w:shd w:val="clear" w:color="auto" w:fill="FFFFFF"/>
        <w:spacing w:line="315" w:lineRule="atLeast"/>
        <w:rPr>
          <w:color w:val="000000"/>
          <w:kern w:val="0"/>
          <w:szCs w:val="21"/>
        </w:rPr>
      </w:pPr>
      <w:r>
        <w:rPr>
          <w:rFonts w:hint="eastAsia" w:ascii="宋体" w:hAnsi="宋体"/>
          <w:b/>
          <w:bCs/>
          <w:color w:val="000000"/>
          <w:kern w:val="0"/>
          <w:sz w:val="30"/>
          <w:szCs w:val="30"/>
        </w:rPr>
        <w:t>  </w:t>
      </w:r>
      <w:r>
        <w:rPr>
          <w:rFonts w:hint="eastAsia" w:ascii="宋体" w:hAnsi="宋体"/>
          <w:color w:val="000000"/>
          <w:kern w:val="0"/>
          <w:sz w:val="30"/>
          <w:szCs w:val="30"/>
        </w:rPr>
        <w:t>本部门及所属单位2023年一般公共预算基本支出</w:t>
      </w:r>
      <w:r>
        <w:rPr>
          <w:rFonts w:hint="eastAsia" w:ascii="宋体" w:hAnsi="宋体"/>
          <w:color w:val="000000"/>
          <w:kern w:val="0"/>
          <w:sz w:val="30"/>
          <w:szCs w:val="30"/>
          <w:lang w:val="en-US" w:eastAsia="zh-CN"/>
        </w:rPr>
        <w:t>594.63</w:t>
      </w:r>
      <w:r>
        <w:rPr>
          <w:rFonts w:hint="eastAsia" w:ascii="宋体" w:hAnsi="宋体"/>
          <w:color w:val="000000"/>
          <w:kern w:val="0"/>
          <w:sz w:val="30"/>
          <w:szCs w:val="30"/>
        </w:rPr>
        <w:t>万元，其中：工资福利支出</w:t>
      </w:r>
      <w:r>
        <w:rPr>
          <w:rFonts w:hint="eastAsia" w:ascii="宋体" w:hAnsi="宋体"/>
          <w:color w:val="000000"/>
          <w:kern w:val="0"/>
          <w:sz w:val="30"/>
          <w:szCs w:val="30"/>
          <w:lang w:val="en-US" w:eastAsia="zh-CN"/>
        </w:rPr>
        <w:t>529.65</w:t>
      </w:r>
      <w:r>
        <w:rPr>
          <w:rFonts w:hint="eastAsia" w:ascii="宋体" w:hAnsi="宋体"/>
          <w:color w:val="000000"/>
          <w:kern w:val="0"/>
          <w:sz w:val="30"/>
          <w:szCs w:val="30"/>
        </w:rPr>
        <w:t>万元，商品和服务支出</w:t>
      </w:r>
      <w:r>
        <w:rPr>
          <w:rFonts w:hint="eastAsia" w:ascii="宋体" w:hAnsi="宋体"/>
          <w:color w:val="000000"/>
          <w:kern w:val="0"/>
          <w:sz w:val="30"/>
          <w:szCs w:val="30"/>
          <w:lang w:val="en-US" w:eastAsia="zh-CN"/>
        </w:rPr>
        <w:t>56.43</w:t>
      </w:r>
      <w:r>
        <w:rPr>
          <w:rFonts w:hint="eastAsia" w:ascii="宋体" w:hAnsi="宋体"/>
          <w:color w:val="000000"/>
          <w:kern w:val="0"/>
          <w:sz w:val="30"/>
          <w:szCs w:val="30"/>
        </w:rPr>
        <w:t>万元，对个人和家庭补助支出8.</w:t>
      </w:r>
      <w:r>
        <w:rPr>
          <w:rFonts w:hint="eastAsia" w:ascii="宋体" w:hAnsi="宋体"/>
          <w:color w:val="000000"/>
          <w:kern w:val="0"/>
          <w:sz w:val="30"/>
          <w:szCs w:val="30"/>
          <w:lang w:val="en-US" w:eastAsia="zh-CN"/>
        </w:rPr>
        <w:t>55</w:t>
      </w:r>
      <w:r>
        <w:rPr>
          <w:rFonts w:hint="eastAsia" w:ascii="宋体" w:hAnsi="宋体"/>
          <w:color w:val="000000"/>
          <w:kern w:val="0"/>
          <w:sz w:val="30"/>
          <w:szCs w:val="30"/>
        </w:rPr>
        <w:t>万元。</w:t>
      </w:r>
    </w:p>
    <w:p>
      <w:pPr>
        <w:widowControl/>
        <w:shd w:val="clear" w:color="auto" w:fill="FFFFFF"/>
        <w:spacing w:line="315" w:lineRule="atLeast"/>
        <w:rPr>
          <w:color w:val="000000"/>
          <w:kern w:val="0"/>
          <w:szCs w:val="21"/>
        </w:rPr>
      </w:pPr>
      <w:r>
        <w:rPr>
          <w:rFonts w:hint="eastAsia" w:ascii="宋体" w:hAnsi="宋体"/>
          <w:color w:val="000000"/>
          <w:kern w:val="0"/>
          <w:sz w:val="30"/>
          <w:szCs w:val="30"/>
        </w:rPr>
        <w:t>  人员经费</w:t>
      </w:r>
      <w:r>
        <w:rPr>
          <w:rFonts w:hint="eastAsia" w:ascii="宋体" w:hAnsi="宋体"/>
          <w:color w:val="000000"/>
          <w:kern w:val="0"/>
          <w:sz w:val="30"/>
          <w:szCs w:val="30"/>
          <w:lang w:val="en-US" w:eastAsia="zh-CN"/>
        </w:rPr>
        <w:t>529.65</w:t>
      </w:r>
      <w:r>
        <w:rPr>
          <w:rFonts w:hint="eastAsia" w:ascii="宋体" w:hAnsi="宋体"/>
          <w:color w:val="000000"/>
          <w:kern w:val="0"/>
          <w:sz w:val="30"/>
          <w:szCs w:val="30"/>
        </w:rPr>
        <w:t>万元，主要包括：基本工资</w:t>
      </w:r>
      <w:r>
        <w:rPr>
          <w:rFonts w:hint="eastAsia" w:ascii="宋体" w:hAnsi="宋体"/>
          <w:color w:val="000000"/>
          <w:kern w:val="0"/>
          <w:sz w:val="30"/>
          <w:szCs w:val="30"/>
          <w:lang w:val="en-US" w:eastAsia="zh-CN"/>
        </w:rPr>
        <w:t>221.15</w:t>
      </w:r>
      <w:r>
        <w:rPr>
          <w:rFonts w:hint="eastAsia" w:ascii="宋体" w:hAnsi="宋体"/>
          <w:color w:val="000000"/>
          <w:kern w:val="0"/>
          <w:sz w:val="30"/>
          <w:szCs w:val="30"/>
        </w:rPr>
        <w:t>万元、津贴补贴</w:t>
      </w:r>
      <w:r>
        <w:rPr>
          <w:rFonts w:hint="eastAsia" w:ascii="宋体" w:hAnsi="宋体"/>
          <w:color w:val="000000"/>
          <w:kern w:val="0"/>
          <w:sz w:val="30"/>
          <w:szCs w:val="30"/>
          <w:lang w:val="en-US" w:eastAsia="zh-CN"/>
        </w:rPr>
        <w:t>11.41</w:t>
      </w:r>
      <w:r>
        <w:rPr>
          <w:rFonts w:hint="eastAsia" w:ascii="宋体" w:hAnsi="宋体"/>
          <w:color w:val="000000"/>
          <w:kern w:val="0"/>
          <w:sz w:val="30"/>
          <w:szCs w:val="30"/>
        </w:rPr>
        <w:t>万元、奖金</w:t>
      </w:r>
      <w:r>
        <w:rPr>
          <w:rFonts w:hint="eastAsia" w:ascii="宋体" w:hAnsi="宋体"/>
          <w:color w:val="000000"/>
          <w:kern w:val="0"/>
          <w:sz w:val="30"/>
          <w:szCs w:val="30"/>
          <w:lang w:val="en-US" w:eastAsia="zh-CN"/>
        </w:rPr>
        <w:t>18.43</w:t>
      </w:r>
      <w:r>
        <w:rPr>
          <w:rFonts w:hint="eastAsia" w:ascii="宋体" w:hAnsi="宋体"/>
          <w:color w:val="000000"/>
          <w:kern w:val="0"/>
          <w:sz w:val="30"/>
          <w:szCs w:val="30"/>
        </w:rPr>
        <w:t>万元、</w:t>
      </w:r>
      <w:r>
        <w:rPr>
          <w:rFonts w:hint="eastAsia" w:ascii="宋体" w:hAnsi="宋体"/>
          <w:color w:val="000000"/>
          <w:kern w:val="0"/>
          <w:sz w:val="30"/>
          <w:szCs w:val="30"/>
          <w:lang w:eastAsia="zh-CN"/>
        </w:rPr>
        <w:t>绩效工资</w:t>
      </w:r>
      <w:r>
        <w:rPr>
          <w:rFonts w:hint="eastAsia" w:ascii="宋体" w:hAnsi="宋体"/>
          <w:color w:val="000000"/>
          <w:kern w:val="0"/>
          <w:sz w:val="30"/>
          <w:szCs w:val="30"/>
          <w:lang w:val="en-US" w:eastAsia="zh-CN"/>
        </w:rPr>
        <w:t>132.89万元、</w:t>
      </w:r>
      <w:r>
        <w:rPr>
          <w:rFonts w:hint="eastAsia" w:ascii="宋体" w:hAnsi="宋体"/>
          <w:color w:val="000000"/>
          <w:kern w:val="0"/>
          <w:sz w:val="30"/>
          <w:szCs w:val="30"/>
        </w:rPr>
        <w:t>机关事业单位基本养老保险</w:t>
      </w:r>
      <w:r>
        <w:rPr>
          <w:rFonts w:hint="eastAsia" w:ascii="宋体" w:hAnsi="宋体"/>
          <w:color w:val="000000"/>
          <w:kern w:val="0"/>
          <w:sz w:val="30"/>
          <w:szCs w:val="30"/>
          <w:lang w:val="en-US" w:eastAsia="zh-CN"/>
        </w:rPr>
        <w:t>59.75</w:t>
      </w:r>
      <w:r>
        <w:rPr>
          <w:rFonts w:hint="eastAsia" w:ascii="宋体" w:hAnsi="宋体"/>
          <w:color w:val="000000"/>
          <w:kern w:val="0"/>
          <w:sz w:val="30"/>
          <w:szCs w:val="30"/>
        </w:rPr>
        <w:t>万元、</w:t>
      </w:r>
      <w:r>
        <w:rPr>
          <w:rFonts w:hint="eastAsia" w:ascii="宋体" w:hAnsi="宋体"/>
          <w:color w:val="000000"/>
          <w:kern w:val="0"/>
          <w:sz w:val="30"/>
          <w:szCs w:val="30"/>
          <w:lang w:eastAsia="zh-CN"/>
        </w:rPr>
        <w:t>机关事业职业年金缴费</w:t>
      </w:r>
      <w:r>
        <w:rPr>
          <w:rFonts w:hint="eastAsia" w:ascii="宋体" w:hAnsi="宋体"/>
          <w:color w:val="000000"/>
          <w:kern w:val="0"/>
          <w:sz w:val="30"/>
          <w:szCs w:val="30"/>
          <w:lang w:val="en-US" w:eastAsia="zh-CN"/>
        </w:rPr>
        <w:t>7.7万元、</w:t>
      </w:r>
      <w:r>
        <w:rPr>
          <w:rFonts w:hint="eastAsia" w:ascii="宋体" w:hAnsi="宋体"/>
          <w:color w:val="000000"/>
          <w:kern w:val="0"/>
          <w:sz w:val="30"/>
          <w:szCs w:val="30"/>
        </w:rPr>
        <w:t>职工基本医疗保险缴费</w:t>
      </w:r>
      <w:r>
        <w:rPr>
          <w:rFonts w:hint="eastAsia" w:ascii="宋体" w:hAnsi="宋体"/>
          <w:color w:val="000000"/>
          <w:kern w:val="0"/>
          <w:sz w:val="30"/>
          <w:szCs w:val="30"/>
          <w:lang w:val="en-US" w:eastAsia="zh-CN"/>
        </w:rPr>
        <w:t>28.87</w:t>
      </w:r>
      <w:r>
        <w:rPr>
          <w:rFonts w:hint="eastAsia" w:ascii="宋体" w:hAnsi="宋体"/>
          <w:color w:val="000000"/>
          <w:kern w:val="0"/>
          <w:sz w:val="30"/>
          <w:szCs w:val="30"/>
        </w:rPr>
        <w:t>万元、住房公积金</w:t>
      </w:r>
      <w:r>
        <w:rPr>
          <w:rFonts w:hint="eastAsia" w:ascii="宋体" w:hAnsi="宋体"/>
          <w:color w:val="000000"/>
          <w:kern w:val="0"/>
          <w:sz w:val="30"/>
          <w:szCs w:val="30"/>
          <w:lang w:val="en-US" w:eastAsia="zh-CN"/>
        </w:rPr>
        <w:t>46.15</w:t>
      </w:r>
      <w:r>
        <w:rPr>
          <w:rFonts w:hint="eastAsia" w:ascii="宋体" w:hAnsi="宋体"/>
          <w:color w:val="000000"/>
          <w:kern w:val="0"/>
          <w:sz w:val="30"/>
          <w:szCs w:val="30"/>
        </w:rPr>
        <w:t>万元、其他社会保障缴费等</w:t>
      </w:r>
      <w:r>
        <w:rPr>
          <w:rFonts w:hint="eastAsia" w:ascii="宋体" w:hAnsi="宋体"/>
          <w:color w:val="000000"/>
          <w:kern w:val="0"/>
          <w:sz w:val="30"/>
          <w:szCs w:val="30"/>
          <w:lang w:val="en-US" w:eastAsia="zh-CN"/>
        </w:rPr>
        <w:t>3.3</w:t>
      </w:r>
      <w:r>
        <w:rPr>
          <w:rFonts w:hint="eastAsia" w:ascii="宋体" w:hAnsi="宋体"/>
          <w:color w:val="000000"/>
          <w:kern w:val="0"/>
          <w:sz w:val="30"/>
          <w:szCs w:val="30"/>
        </w:rPr>
        <w:t>万元。</w:t>
      </w:r>
    </w:p>
    <w:p>
      <w:pPr>
        <w:widowControl/>
        <w:shd w:val="clear" w:color="auto" w:fill="FFFFFF"/>
        <w:spacing w:line="315" w:lineRule="atLeast"/>
        <w:ind w:firstLine="600"/>
        <w:rPr>
          <w:color w:val="000000"/>
          <w:kern w:val="0"/>
          <w:szCs w:val="21"/>
        </w:rPr>
      </w:pPr>
      <w:r>
        <w:rPr>
          <w:rFonts w:hint="eastAsia" w:ascii="宋体" w:hAnsi="宋体"/>
          <w:color w:val="000000"/>
          <w:kern w:val="0"/>
          <w:sz w:val="30"/>
          <w:szCs w:val="30"/>
        </w:rPr>
        <w:t>公用经费</w:t>
      </w:r>
      <w:r>
        <w:rPr>
          <w:rFonts w:hint="eastAsia" w:ascii="宋体" w:hAnsi="宋体"/>
          <w:color w:val="000000"/>
          <w:kern w:val="0"/>
          <w:sz w:val="30"/>
          <w:szCs w:val="30"/>
          <w:lang w:val="en-US" w:eastAsia="zh-CN"/>
        </w:rPr>
        <w:t>56</w:t>
      </w:r>
      <w:r>
        <w:rPr>
          <w:rFonts w:hint="eastAsia" w:ascii="宋体" w:hAnsi="宋体"/>
          <w:color w:val="000000"/>
          <w:kern w:val="0"/>
          <w:sz w:val="30"/>
          <w:szCs w:val="30"/>
        </w:rPr>
        <w:t>.43万元，主要包括：办公费0.</w:t>
      </w:r>
      <w:r>
        <w:rPr>
          <w:rFonts w:hint="eastAsia" w:ascii="宋体" w:hAnsi="宋体"/>
          <w:color w:val="000000"/>
          <w:kern w:val="0"/>
          <w:sz w:val="30"/>
          <w:szCs w:val="30"/>
          <w:lang w:val="en-US" w:eastAsia="zh-CN"/>
        </w:rPr>
        <w:t>4</w:t>
      </w:r>
      <w:r>
        <w:rPr>
          <w:rFonts w:hint="eastAsia" w:ascii="宋体" w:hAnsi="宋体"/>
          <w:color w:val="000000"/>
          <w:kern w:val="0"/>
          <w:sz w:val="30"/>
          <w:szCs w:val="30"/>
        </w:rPr>
        <w:t>8 万元、水费</w:t>
      </w:r>
      <w:r>
        <w:rPr>
          <w:rFonts w:hint="eastAsia" w:ascii="宋体" w:hAnsi="宋体"/>
          <w:color w:val="000000"/>
          <w:kern w:val="0"/>
          <w:sz w:val="30"/>
          <w:szCs w:val="30"/>
          <w:lang w:val="en-US" w:eastAsia="zh-CN"/>
        </w:rPr>
        <w:t>4</w:t>
      </w:r>
      <w:r>
        <w:rPr>
          <w:rFonts w:hint="eastAsia" w:ascii="宋体" w:hAnsi="宋体"/>
          <w:color w:val="000000"/>
          <w:kern w:val="0"/>
          <w:sz w:val="30"/>
          <w:szCs w:val="30"/>
        </w:rPr>
        <w:t>万元、电费13万元、办公取暖费</w:t>
      </w:r>
      <w:r>
        <w:rPr>
          <w:rFonts w:hint="eastAsia" w:ascii="宋体" w:hAnsi="宋体"/>
          <w:color w:val="000000"/>
          <w:kern w:val="0"/>
          <w:sz w:val="30"/>
          <w:szCs w:val="30"/>
          <w:lang w:val="en-US" w:eastAsia="zh-CN"/>
        </w:rPr>
        <w:t>26.56</w:t>
      </w:r>
      <w:r>
        <w:rPr>
          <w:rFonts w:hint="eastAsia" w:ascii="宋体" w:hAnsi="宋体"/>
          <w:color w:val="000000"/>
          <w:kern w:val="0"/>
          <w:sz w:val="30"/>
          <w:szCs w:val="30"/>
        </w:rPr>
        <w:t>万元、工会经费</w:t>
      </w:r>
      <w:r>
        <w:rPr>
          <w:rFonts w:hint="eastAsia" w:ascii="宋体" w:hAnsi="宋体"/>
          <w:color w:val="000000"/>
          <w:kern w:val="0"/>
          <w:sz w:val="30"/>
          <w:szCs w:val="30"/>
          <w:lang w:val="en-US" w:eastAsia="zh-CN"/>
        </w:rPr>
        <w:t>7.09</w:t>
      </w:r>
      <w:r>
        <w:rPr>
          <w:rFonts w:hint="eastAsia" w:ascii="宋体" w:hAnsi="宋体"/>
          <w:color w:val="000000"/>
          <w:kern w:val="0"/>
          <w:sz w:val="30"/>
          <w:szCs w:val="30"/>
        </w:rPr>
        <w:t>万元、公务用车运行维护费3万元、其他公用经费</w:t>
      </w:r>
      <w:r>
        <w:rPr>
          <w:rFonts w:hint="eastAsia" w:ascii="宋体" w:hAnsi="宋体"/>
          <w:color w:val="000000"/>
          <w:kern w:val="0"/>
          <w:sz w:val="30"/>
          <w:szCs w:val="30"/>
          <w:lang w:val="en-US" w:eastAsia="zh-CN"/>
        </w:rPr>
        <w:t>2.3</w:t>
      </w:r>
      <w:r>
        <w:rPr>
          <w:rFonts w:hint="eastAsia" w:ascii="宋体" w:hAnsi="宋体"/>
          <w:color w:val="000000"/>
          <w:kern w:val="0"/>
          <w:sz w:val="30"/>
          <w:szCs w:val="30"/>
        </w:rPr>
        <w:t>万元。</w:t>
      </w:r>
    </w:p>
    <w:p>
      <w:pPr>
        <w:widowControl/>
        <w:shd w:val="clear" w:color="auto" w:fill="FFFFFF"/>
        <w:spacing w:line="315" w:lineRule="atLeast"/>
        <w:rPr>
          <w:color w:val="000000"/>
          <w:kern w:val="0"/>
          <w:szCs w:val="21"/>
        </w:rPr>
      </w:pPr>
      <w:r>
        <w:rPr>
          <w:rFonts w:hint="eastAsia" w:ascii="宋体" w:hAnsi="宋体"/>
          <w:b/>
          <w:bCs/>
          <w:color w:val="000000"/>
          <w:kern w:val="0"/>
          <w:sz w:val="30"/>
          <w:szCs w:val="30"/>
        </w:rPr>
        <w:t>  四、关于2023年“三公”经费预算情况说明</w:t>
      </w:r>
    </w:p>
    <w:p>
      <w:pPr>
        <w:widowControl/>
        <w:shd w:val="clear" w:color="auto" w:fill="FFFFFF"/>
        <w:spacing w:line="315" w:lineRule="atLeast"/>
        <w:rPr>
          <w:rFonts w:hint="eastAsia"/>
          <w:color w:val="000000"/>
          <w:kern w:val="0"/>
          <w:szCs w:val="21"/>
        </w:rPr>
      </w:pPr>
      <w:r>
        <w:rPr>
          <w:rFonts w:hint="eastAsia" w:ascii="宋体" w:hAnsi="宋体"/>
          <w:color w:val="000000"/>
          <w:kern w:val="0"/>
          <w:sz w:val="30"/>
          <w:szCs w:val="30"/>
        </w:rPr>
        <w:t>  2023年“三公”经费预算数3万元，其中：公务接待费用0万元；因公出国（境）经费支出0万元；公务用车运行维护费 3万元。同比下降21%，原因是：严格管理车辆使用。</w:t>
      </w:r>
    </w:p>
    <w:p>
      <w:pPr>
        <w:widowControl/>
        <w:shd w:val="clear" w:color="auto" w:fill="FFFFFF"/>
        <w:spacing w:line="315" w:lineRule="atLeast"/>
        <w:rPr>
          <w:rFonts w:hint="eastAsia" w:ascii="宋体" w:hAnsi="宋体"/>
          <w:b/>
          <w:bCs/>
          <w:color w:val="000000"/>
          <w:kern w:val="0"/>
          <w:sz w:val="30"/>
          <w:szCs w:val="30"/>
        </w:rPr>
      </w:pPr>
      <w:r>
        <w:rPr>
          <w:rFonts w:hint="eastAsia" w:ascii="宋体" w:hAnsi="宋体"/>
          <w:b/>
          <w:bCs/>
          <w:color w:val="000000"/>
          <w:kern w:val="0"/>
          <w:sz w:val="30"/>
          <w:szCs w:val="30"/>
        </w:rPr>
        <w:t xml:space="preserve">    第四部分 名词解释</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1.财政拨款收入：指市级财政当年拨付的资金。</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2.基本支出：指保障机构正常运转、完成日常工作任务而发生的人员支出和公用支出。</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3.项目支出：指在基本支出之外为完成特定行政任务和事业发展目标所发生的支出。</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4.医疗收入,即医院开展医疗服务活动取得的收入,包括门诊收入和住院收入。</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（1）、门诊收入是指为门诊病人提供医疗服务所取得的收入,包括挂号收入、诊察收入、检查收入、化验收入、治疗收入、手术收入、卫生材料收入、药品收入、药事服务费收入、其他门诊收入等。</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（2）、住院收入是指为住院病人提供医疗服务所取得的收入,包括床位收入、诊察收入、检查收入、化验收入、治疗收入、手术收入、护理收入、卫生材料收入、药品收入、药事服务费收入、其他住院收入等</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5.其他收入：指除上述“财政拨款收入”、“行政事业性收费收入”、“政府性基金收入”、“医疗收入”以外的收入。</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6.“三公”经费：指用财政拨款安排的因公出国（境）费、公务用车购置及运行费和公务接待费。</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7.社会保障和就业（类）行政事业单位离退休（款）归口管理的行政单位离退休（项）：反映实行归口管理的行政单位（包括实行公务员管理的事业单位）开支的离退休经费。</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8.社会保障和就业（类）行政事业单位离退休（款）事业单位离退休（项）：反映实行归口管理的事业单位开支的离退休经费。</w:t>
      </w:r>
    </w:p>
    <w:p>
      <w:pPr>
        <w:widowControl/>
        <w:spacing w:line="360" w:lineRule="auto"/>
        <w:ind w:firstLine="60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9.住房保障（类）住房改革（款）住房公积金（项）：反映行政事业单位按人力资源和社会保障部、财政部规定的基本工资和津贴补贴以及规定比例为职工缴纳的住房公积金。</w:t>
      </w:r>
    </w:p>
    <w:p>
      <w:pPr>
        <w:widowControl/>
        <w:spacing w:line="360" w:lineRule="auto"/>
        <w:ind w:firstLine="420"/>
        <w:jc w:val="left"/>
        <w:rPr>
          <w:rFonts w:hint="eastAsia" w:ascii="仿宋" w:hAnsi="仿宋" w:eastAsia="仿宋" w:cs="仿宋"/>
        </w:rPr>
      </w:pPr>
      <w:r>
        <w:rPr>
          <w:rFonts w:hint="eastAsia" w:ascii="仿宋" w:hAnsi="仿宋" w:eastAsia="仿宋" w:cs="仿宋"/>
          <w:kern w:val="0"/>
          <w:sz w:val="30"/>
          <w:szCs w:val="30"/>
        </w:rPr>
        <w:t>10.住房保障（类）住房改革（款）购房补贴（项）：反映按房改政策规定，行政事业单位向符合条件职工（含离退休人员）、军队（含武警）向转役复员离退休人员发放的用于购买住房的补贴。</w:t>
      </w:r>
    </w:p>
    <w:p>
      <w:pPr>
        <w:widowControl/>
        <w:shd w:val="clear" w:color="auto" w:fill="FFFFFF"/>
        <w:spacing w:line="315" w:lineRule="atLeast"/>
        <w:rPr>
          <w:rFonts w:hint="eastAsia" w:ascii="宋体" w:hAnsi="宋体"/>
          <w:b/>
          <w:bCs/>
          <w:color w:val="000000"/>
          <w:kern w:val="0"/>
          <w:sz w:val="30"/>
          <w:szCs w:val="30"/>
        </w:rPr>
      </w:pPr>
    </w:p>
    <w:p>
      <w:pPr>
        <w:widowControl/>
        <w:shd w:val="clear" w:color="auto" w:fill="FFFFFF"/>
        <w:spacing w:line="315" w:lineRule="atLeast"/>
        <w:ind w:firstLine="420"/>
        <w:rPr>
          <w:color w:val="000000"/>
          <w:kern w:val="0"/>
          <w:szCs w:val="21"/>
        </w:rPr>
      </w:pPr>
      <w:r>
        <w:rPr>
          <w:rFonts w:hint="eastAsia" w:ascii="宋体" w:hAnsi="宋体"/>
          <w:color w:val="000000"/>
          <w:kern w:val="0"/>
          <w:sz w:val="30"/>
          <w:szCs w:val="30"/>
        </w:rPr>
        <w:t>   </w:t>
      </w:r>
    </w:p>
    <w:p>
      <w:pPr>
        <w:rPr>
          <w:color w:val="00000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MGY4ZGU3NzM5NjcyZjUxMDM5ZGEyYTgwNzA1NGIifQ=="/>
  </w:docVars>
  <w:rsids>
    <w:rsidRoot w:val="00273DE5"/>
    <w:rsid w:val="00273DE5"/>
    <w:rsid w:val="005E200A"/>
    <w:rsid w:val="00805694"/>
    <w:rsid w:val="00914709"/>
    <w:rsid w:val="029A7D90"/>
    <w:rsid w:val="34A8508F"/>
    <w:rsid w:val="49C153E0"/>
    <w:rsid w:val="52F402E2"/>
    <w:rsid w:val="5D4C7381"/>
    <w:rsid w:val="722E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2794</Words>
  <Characters>3059</Characters>
  <Lines>22</Lines>
  <Paragraphs>6</Paragraphs>
  <TotalTime>19</TotalTime>
  <ScaleCrop>false</ScaleCrop>
  <LinksUpToDate>false</LinksUpToDate>
  <CharactersWithSpaces>3095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2023-01-15T02:16:00Z</dcterms:created>
  <dc:creator>Windows User</dc:creator>
  <cp:lastModifiedBy>喆</cp:lastModifiedBy>
  <dcterms:modified xsi:type="dcterms:W3CDTF">2023-01-17T10:05:35Z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A3B803021F3640B596B87F60ED8584E4</vt:lpwstr>
  </property>
</Properties>
</file>